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autoSpaceDE w:val="0"/>
        <w:spacing w:line="580" w:lineRule="exact"/>
        <w:ind w:firstLine="880" w:firstLineChars="200"/>
        <w:rPr>
          <w:rFonts w:hint="eastAsia"/>
        </w:rPr>
      </w:pPr>
      <w:bookmarkStart w:id="19" w:name="_GoBack"/>
      <w:r>
        <w:rPr>
          <w:rFonts w:hint="eastAsia" w:ascii="方正小标宋简体" w:eastAsia="方正小标宋简体"/>
          <w:sz w:val="44"/>
          <w:szCs w:val="44"/>
        </w:rPr>
        <w:t>江西省2024年新高考有关政策解读</w:t>
      </w:r>
      <w:bookmarkEnd w:id="19"/>
    </w:p>
    <w:p>
      <w:pPr>
        <w:overflowPunct w:val="0"/>
        <w:autoSpaceDE w:val="0"/>
        <w:autoSpaceDN w:val="0"/>
        <w:spacing w:line="520" w:lineRule="exact"/>
        <w:ind w:firstLine="640" w:firstLineChars="200"/>
        <w:rPr>
          <w:rFonts w:hint="eastAsia"/>
        </w:rPr>
      </w:pPr>
    </w:p>
    <w:p>
      <w:pPr>
        <w:overflowPunct w:val="0"/>
        <w:autoSpaceDE w:val="0"/>
        <w:spacing w:line="520" w:lineRule="exact"/>
        <w:ind w:firstLine="640" w:firstLineChars="200"/>
        <w:outlineLvl w:val="0"/>
        <w:rPr>
          <w:rStyle w:val="13"/>
          <w:rFonts w:hint="eastAsia" w:ascii="黑体" w:hAnsi="黑体" w:eastAsia="黑体"/>
          <w:b w:val="0"/>
          <w:bCs/>
          <w:kern w:val="0"/>
        </w:rPr>
      </w:pPr>
      <w:r>
        <w:rPr>
          <w:rStyle w:val="13"/>
          <w:rFonts w:hint="eastAsia" w:ascii="黑体" w:hAnsi="黑体" w:eastAsia="黑体"/>
          <w:b w:val="0"/>
          <w:bCs/>
          <w:kern w:val="0"/>
        </w:rPr>
        <w:t>1.2024年高考考试时间如何安排？</w:t>
      </w:r>
    </w:p>
    <w:p>
      <w:pPr>
        <w:overflowPunct w:val="0"/>
        <w:autoSpaceDE w:val="0"/>
        <w:autoSpaceDN w:val="0"/>
        <w:spacing w:line="520" w:lineRule="exact"/>
        <w:ind w:firstLine="640" w:firstLineChars="200"/>
        <w:rPr>
          <w:rFonts w:hint="eastAsia"/>
        </w:rPr>
      </w:pPr>
      <w:r>
        <w:rPr>
          <w:rFonts w:hint="eastAsia"/>
        </w:rPr>
        <w:t>语文考试时长为150分钟，数学和外语（含听力）考试时长均为120分钟。各选考科目考试时长均为75分钟，具体安排如下：</w:t>
      </w:r>
    </w:p>
    <w:tbl>
      <w:tblPr>
        <w:tblStyle w:val="7"/>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3586"/>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b/>
                <w:bCs/>
              </w:rPr>
            </w:pPr>
            <w:r>
              <w:rPr>
                <w:rFonts w:hint="eastAsia" w:ascii="仿宋" w:hAnsi="仿宋" w:eastAsia="仿宋"/>
                <w:b/>
                <w:bCs/>
              </w:rPr>
              <w:t>日  期</w:t>
            </w:r>
          </w:p>
        </w:tc>
        <w:tc>
          <w:tcPr>
            <w:tcW w:w="35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b/>
                <w:bCs/>
              </w:rPr>
            </w:pPr>
            <w:r>
              <w:rPr>
                <w:rFonts w:hint="eastAsia" w:ascii="仿宋" w:hAnsi="仿宋" w:eastAsia="仿宋"/>
                <w:b/>
                <w:bCs/>
              </w:rPr>
              <w:t>上  午</w:t>
            </w:r>
          </w:p>
        </w:tc>
        <w:tc>
          <w:tcPr>
            <w:tcW w:w="38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b/>
                <w:bCs/>
              </w:rPr>
            </w:pPr>
            <w:r>
              <w:rPr>
                <w:rFonts w:hint="eastAsia" w:ascii="仿宋" w:hAnsi="仿宋" w:eastAsia="仿宋"/>
                <w:b/>
                <w:bCs/>
              </w:rPr>
              <w:t>下  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6月7日</w:t>
            </w:r>
          </w:p>
        </w:tc>
        <w:tc>
          <w:tcPr>
            <w:tcW w:w="35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语文（9:00—11:30）</w:t>
            </w:r>
          </w:p>
        </w:tc>
        <w:tc>
          <w:tcPr>
            <w:tcW w:w="38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数学（15:00—17:00）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6月8日</w:t>
            </w:r>
          </w:p>
        </w:tc>
        <w:tc>
          <w:tcPr>
            <w:tcW w:w="35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物理/历史（9:00—10:15）</w:t>
            </w:r>
          </w:p>
        </w:tc>
        <w:tc>
          <w:tcPr>
            <w:tcW w:w="38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外语（含听力）</w:t>
            </w:r>
          </w:p>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6月9日</w:t>
            </w:r>
          </w:p>
        </w:tc>
        <w:tc>
          <w:tcPr>
            <w:tcW w:w="35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化学（8:30—9:45）</w:t>
            </w:r>
          </w:p>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地理（11:00—12:15）</w:t>
            </w:r>
          </w:p>
        </w:tc>
        <w:tc>
          <w:tcPr>
            <w:tcW w:w="38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思想政治（14:30—15:45）</w:t>
            </w:r>
          </w:p>
          <w:p>
            <w:pPr>
              <w:keepNext w:val="0"/>
              <w:keepLines w:val="0"/>
              <w:pageBreakBefore w:val="0"/>
              <w:widowControl w:val="0"/>
              <w:kinsoku/>
              <w:wordWrap/>
              <w:overflowPunct w:val="0"/>
              <w:topLinePunct w:val="0"/>
              <w:autoSpaceDE w:val="0"/>
              <w:autoSpaceDN w:val="0"/>
              <w:bidi w:val="0"/>
              <w:adjustRightInd/>
              <w:snapToGrid/>
              <w:spacing w:line="560" w:lineRule="exact"/>
              <w:jc w:val="center"/>
              <w:textAlignment w:val="auto"/>
              <w:rPr>
                <w:rFonts w:ascii="仿宋" w:hAnsi="仿宋" w:eastAsia="仿宋"/>
                <w:sz w:val="28"/>
                <w:szCs w:val="28"/>
              </w:rPr>
            </w:pPr>
            <w:r>
              <w:rPr>
                <w:rFonts w:hint="eastAsia" w:ascii="仿宋" w:hAnsi="仿宋" w:eastAsia="仿宋"/>
                <w:sz w:val="28"/>
                <w:szCs w:val="28"/>
              </w:rPr>
              <w:t>生物学（17:00—18:15）</w:t>
            </w:r>
          </w:p>
        </w:tc>
      </w:tr>
    </w:tbl>
    <w:p>
      <w:pPr>
        <w:pStyle w:val="5"/>
        <w:overflowPunct w:val="0"/>
        <w:autoSpaceDE w:val="0"/>
        <w:spacing w:line="520" w:lineRule="exact"/>
        <w:ind w:firstLine="640" w:firstLineChars="200"/>
        <w:outlineLvl w:val="0"/>
        <w:rPr>
          <w:rFonts w:hint="eastAsia" w:ascii="黑体" w:hAnsi="黑体" w:eastAsia="黑体"/>
          <w:bCs/>
          <w:kern w:val="0"/>
          <w:sz w:val="32"/>
          <w:szCs w:val="32"/>
        </w:rPr>
      </w:pPr>
      <w:r>
        <w:rPr>
          <w:rFonts w:hint="eastAsia" w:ascii="黑体" w:hAnsi="黑体" w:eastAsia="黑体"/>
          <w:kern w:val="0"/>
          <w:sz w:val="32"/>
          <w:szCs w:val="32"/>
        </w:rPr>
        <w:t>2</w:t>
      </w:r>
      <w:r>
        <w:rPr>
          <w:rStyle w:val="13"/>
          <w:rFonts w:hint="eastAsia" w:ascii="黑体" w:hAnsi="黑体" w:eastAsia="黑体"/>
          <w:b w:val="0"/>
          <w:bCs/>
          <w:kern w:val="0"/>
          <w:sz w:val="32"/>
          <w:szCs w:val="32"/>
        </w:rPr>
        <w:t>.今年普通高校招生文化考试与往年有什么区别？</w:t>
      </w:r>
    </w:p>
    <w:p>
      <w:pPr>
        <w:overflowPunct w:val="0"/>
        <w:autoSpaceDE w:val="0"/>
        <w:spacing w:line="520" w:lineRule="exact"/>
        <w:ind w:firstLine="643" w:firstLineChars="200"/>
        <w:rPr>
          <w:rFonts w:hint="eastAsia"/>
          <w:kern w:val="0"/>
        </w:rPr>
      </w:pPr>
      <w:r>
        <w:rPr>
          <w:rStyle w:val="13"/>
          <w:rFonts w:hint="eastAsia"/>
          <w:kern w:val="0"/>
        </w:rPr>
        <w:t>一是</w:t>
      </w:r>
      <w:r>
        <w:rPr>
          <w:rStyle w:val="13"/>
          <w:rFonts w:hint="eastAsia"/>
          <w:b w:val="0"/>
          <w:bCs/>
          <w:kern w:val="0"/>
        </w:rPr>
        <w:t>考试科目不同。</w:t>
      </w:r>
      <w:r>
        <w:rPr>
          <w:rFonts w:hint="eastAsia"/>
          <w:kern w:val="0"/>
        </w:rPr>
        <w:t>新高考采用“3+1+2”模式。“3”为语文、数学、外语3门全国统考科目；“1”为首选科目，即物理、历史中的1门；“2”为再选科目，即思想政治、地理、化学、生物学4门科目中的2门。</w:t>
      </w:r>
    </w:p>
    <w:p>
      <w:pPr>
        <w:overflowPunct w:val="0"/>
        <w:autoSpaceDE w:val="0"/>
        <w:spacing w:line="520" w:lineRule="exact"/>
        <w:ind w:firstLine="643" w:firstLineChars="200"/>
        <w:rPr>
          <w:rFonts w:hint="eastAsia"/>
        </w:rPr>
      </w:pPr>
      <w:r>
        <w:rPr>
          <w:rStyle w:val="13"/>
          <w:rFonts w:hint="eastAsia"/>
          <w:kern w:val="0"/>
        </w:rPr>
        <w:t>二是</w:t>
      </w:r>
      <w:r>
        <w:rPr>
          <w:rStyle w:val="13"/>
          <w:rFonts w:hint="eastAsia"/>
          <w:b w:val="0"/>
          <w:bCs/>
          <w:kern w:val="0"/>
        </w:rPr>
        <w:t>成绩构成不同。</w:t>
      </w:r>
      <w:r>
        <w:rPr>
          <w:rFonts w:hint="eastAsia"/>
          <w:kern w:val="0"/>
        </w:rPr>
        <w:t>新高考考生的文化总成绩由语文、数学、外语3门全国统考科目成绩和3门选择性考试科目成绩组成，满分750分。其中，语文、数学、外语三门统考科目每科满分150分，直接以卷面原始分数计入高考文化总成绩；考生选择的三门选考科目每科满分100分，首选科目（历史、物理2选1）直接以卷面原始分数计入高考文化总成绩；再选科目（思想政治、地理、化学、生物学4选2）实行</w:t>
      </w:r>
      <w:r>
        <w:rPr>
          <w:rFonts w:hint="eastAsia"/>
          <w:kern w:val="0"/>
          <w:u w:val="single"/>
        </w:rPr>
        <w:t>等级赋分</w:t>
      </w:r>
      <w:r>
        <w:rPr>
          <w:rFonts w:hint="eastAsia"/>
          <w:kern w:val="0"/>
          <w:u w:val="single"/>
          <w:lang w:eastAsia="zh-CN"/>
        </w:rPr>
        <w:t>（详阅：</w:t>
      </w:r>
      <w:r>
        <w:rPr>
          <w:rFonts w:hint="eastAsia"/>
          <w:kern w:val="0"/>
          <w:lang w:eastAsia="zh-CN"/>
        </w:rPr>
        <w:fldChar w:fldCharType="begin"/>
      </w:r>
      <w:r>
        <w:rPr>
          <w:rFonts w:hint="eastAsia"/>
          <w:kern w:val="0"/>
          <w:lang w:eastAsia="zh-CN"/>
        </w:rPr>
        <w:instrText xml:space="preserve"> HYPERLINK "http://jyt.jiangxi.gov.cn/art/2024/2/22/art_82101_4793054.html" </w:instrText>
      </w:r>
      <w:r>
        <w:rPr>
          <w:rFonts w:hint="eastAsia"/>
          <w:kern w:val="0"/>
          <w:lang w:eastAsia="zh-CN"/>
        </w:rPr>
        <w:fldChar w:fldCharType="separate"/>
      </w:r>
      <w:r>
        <w:rPr>
          <w:rStyle w:val="9"/>
          <w:rFonts w:hint="eastAsia"/>
          <w:kern w:val="0"/>
          <w:lang w:eastAsia="zh-CN"/>
        </w:rPr>
        <w:t>为什么要等级赋分？</w:t>
      </w:r>
      <w:r>
        <w:rPr>
          <w:rFonts w:hint="eastAsia"/>
          <w:kern w:val="0"/>
          <w:lang w:eastAsia="zh-CN"/>
        </w:rPr>
        <w:fldChar w:fldCharType="end"/>
      </w:r>
      <w:r>
        <w:rPr>
          <w:rFonts w:hint="eastAsia"/>
          <w:kern w:val="0"/>
          <w:lang w:eastAsia="zh-CN"/>
        </w:rPr>
        <w:fldChar w:fldCharType="begin"/>
      </w:r>
      <w:r>
        <w:rPr>
          <w:rFonts w:hint="eastAsia"/>
          <w:kern w:val="0"/>
          <w:lang w:eastAsia="zh-CN"/>
        </w:rPr>
        <w:instrText xml:space="preserve"> HYPERLINK "http://jyt.jiangxi.gov.cn/art/2024/2/22/art_82101_4793055.html" </w:instrText>
      </w:r>
      <w:r>
        <w:rPr>
          <w:rFonts w:hint="eastAsia"/>
          <w:kern w:val="0"/>
          <w:lang w:eastAsia="zh-CN"/>
        </w:rPr>
        <w:fldChar w:fldCharType="separate"/>
      </w:r>
      <w:r>
        <w:rPr>
          <w:rStyle w:val="9"/>
          <w:rFonts w:hint="eastAsia"/>
          <w:kern w:val="0"/>
          <w:lang w:eastAsia="zh-CN"/>
        </w:rPr>
        <w:t>怎么赋分？</w:t>
      </w:r>
      <w:r>
        <w:rPr>
          <w:rFonts w:hint="eastAsia"/>
          <w:kern w:val="0"/>
          <w:lang w:eastAsia="zh-CN"/>
        </w:rPr>
        <w:fldChar w:fldCharType="end"/>
      </w:r>
      <w:r>
        <w:rPr>
          <w:rFonts w:hint="eastAsia"/>
          <w:kern w:val="0"/>
          <w:lang w:eastAsia="zh-CN"/>
        </w:rPr>
        <w:t>）</w:t>
      </w:r>
      <w:r>
        <w:rPr>
          <w:rFonts w:hint="eastAsia"/>
          <w:kern w:val="0"/>
        </w:rPr>
        <w:t>，以转换后的分数计入高考文化总成绩。</w:t>
      </w:r>
    </w:p>
    <w:p>
      <w:pPr>
        <w:pStyle w:val="5"/>
        <w:overflowPunct w:val="0"/>
        <w:autoSpaceDE w:val="0"/>
        <w:spacing w:line="520" w:lineRule="exact"/>
        <w:ind w:firstLine="640" w:firstLineChars="200"/>
        <w:outlineLvl w:val="0"/>
        <w:rPr>
          <w:rFonts w:hint="eastAsia" w:ascii="黑体" w:hAnsi="黑体" w:eastAsia="黑体"/>
          <w:kern w:val="0"/>
          <w:sz w:val="32"/>
          <w:szCs w:val="32"/>
        </w:rPr>
      </w:pPr>
      <w:bookmarkStart w:id="0" w:name="_Toc24753"/>
      <w:bookmarkEnd w:id="0"/>
      <w:bookmarkStart w:id="1" w:name="_Toc25769"/>
      <w:r>
        <w:rPr>
          <w:rFonts w:hint="eastAsia" w:ascii="黑体" w:hAnsi="黑体" w:eastAsia="黑体"/>
          <w:kern w:val="0"/>
          <w:sz w:val="32"/>
          <w:szCs w:val="32"/>
        </w:rPr>
        <w:t>3.</w:t>
      </w:r>
      <w:bookmarkEnd w:id="1"/>
      <w:bookmarkStart w:id="2" w:name="_Toc18810"/>
      <w:bookmarkEnd w:id="2"/>
      <w:bookmarkStart w:id="3" w:name="_Toc10450"/>
      <w:r>
        <w:rPr>
          <w:rFonts w:hint="eastAsia" w:ascii="黑体" w:hAnsi="黑体" w:eastAsia="黑体"/>
          <w:kern w:val="0"/>
          <w:sz w:val="32"/>
          <w:szCs w:val="32"/>
        </w:rPr>
        <w:t>为什么要求诚信应考？</w:t>
      </w:r>
      <w:bookmarkEnd w:id="3"/>
      <w:r>
        <w:rPr>
          <w:rFonts w:hint="eastAsia" w:ascii="黑体" w:hAnsi="黑体" w:eastAsia="黑体"/>
          <w:kern w:val="0"/>
          <w:sz w:val="32"/>
          <w:szCs w:val="32"/>
        </w:rPr>
        <w:t>考生违纪、作弊将会受到什么处理？</w:t>
      </w:r>
    </w:p>
    <w:p>
      <w:pPr>
        <w:overflowPunct w:val="0"/>
        <w:autoSpaceDE w:val="0"/>
        <w:spacing w:line="520" w:lineRule="exact"/>
        <w:ind w:firstLine="640" w:firstLineChars="200"/>
        <w:rPr>
          <w:rFonts w:hint="eastAsia"/>
          <w:kern w:val="0"/>
        </w:rPr>
      </w:pPr>
      <w:r>
        <w:rPr>
          <w:rFonts w:hint="eastAsia"/>
          <w:kern w:val="0"/>
        </w:rPr>
        <w:t>诚信应考是每名考生应该严格遵守的准则和应尽的义务，广大考生须诚信考试，在报名、考试和录取过程恪守诚信并签署报名、考试承诺书，自觉遵守考试纪律和考场规则。</w:t>
      </w:r>
    </w:p>
    <w:p>
      <w:pPr>
        <w:overflowPunct w:val="0"/>
        <w:autoSpaceDE w:val="0"/>
        <w:spacing w:line="520" w:lineRule="exact"/>
        <w:ind w:firstLine="640" w:firstLineChars="200"/>
        <w:rPr>
          <w:rFonts w:hint="eastAsia"/>
          <w:b/>
          <w:bCs/>
          <w:kern w:val="0"/>
        </w:rPr>
      </w:pPr>
      <w:r>
        <w:rPr>
          <w:rFonts w:hint="eastAsia"/>
          <w:kern w:val="0"/>
        </w:rPr>
        <w:t>考生在考试过程中如不遵守考场规则，不服从考试工作人员管理，有违规行为的，将按《中华人民共和国教育法》《国家教育考试违规处理办法》确定的程序和规定严肃处理，并将记入国家教育考试诚信档案；</w:t>
      </w:r>
      <w:r>
        <w:rPr>
          <w:rFonts w:hint="eastAsia"/>
          <w:b/>
          <w:bCs/>
          <w:kern w:val="0"/>
        </w:rPr>
        <w:t>考试作弊将导致高考所有科目的成绩无效，并视情节轻重，给予暂停参加该项考试1至3年的处理，情节特别严重的，给予暂停参加各种国家教育考试1至3年的处理。</w:t>
      </w:r>
    </w:p>
    <w:p>
      <w:pPr>
        <w:overflowPunct w:val="0"/>
        <w:autoSpaceDE w:val="0"/>
        <w:spacing w:line="520" w:lineRule="exact"/>
        <w:ind w:firstLine="640" w:firstLineChars="200"/>
        <w:rPr>
          <w:rFonts w:hint="eastAsia"/>
          <w:kern w:val="0"/>
        </w:rPr>
      </w:pPr>
      <w:r>
        <w:rPr>
          <w:rFonts w:hint="eastAsia"/>
          <w:kern w:val="0"/>
        </w:rPr>
        <w:t>特别需要注意的是，考生如携带手机等具有发送或者接收信息功能的设备进入考场，无论使用与否，均将认定为考试作弊。考试过程中使用手机等设备拍摄试题、答题卡等，通过QQ、微信及其他网络平台发布信息、传播试题及答案，均涉嫌犯罪，将移送司法机关追究法律责任。</w:t>
      </w:r>
    </w:p>
    <w:p>
      <w:pPr>
        <w:overflowPunct w:val="0"/>
        <w:spacing w:line="520" w:lineRule="exact"/>
        <w:ind w:firstLine="640" w:firstLineChars="200"/>
        <w:outlineLvl w:val="0"/>
        <w:rPr>
          <w:rFonts w:hint="eastAsia" w:ascii="黑体" w:hAnsi="黑体" w:eastAsia="黑体"/>
          <w:bCs/>
        </w:rPr>
      </w:pPr>
      <w:r>
        <w:rPr>
          <w:rStyle w:val="13"/>
          <w:rFonts w:hint="eastAsia" w:ascii="黑体" w:hAnsi="黑体" w:eastAsia="黑体"/>
          <w:b w:val="0"/>
          <w:bCs/>
          <w:kern w:val="0"/>
        </w:rPr>
        <w:t>4.今年各高校的招生计划和院校专业组设置如何查询？</w:t>
      </w:r>
    </w:p>
    <w:p>
      <w:pPr>
        <w:overflowPunct w:val="0"/>
        <w:autoSpaceDE w:val="0"/>
        <w:autoSpaceDN w:val="0"/>
        <w:spacing w:line="520" w:lineRule="exact"/>
        <w:ind w:firstLine="640" w:firstLineChars="200"/>
        <w:rPr>
          <w:rStyle w:val="13"/>
          <w:rFonts w:hint="eastAsia" w:ascii="仿宋_GB2312"/>
          <w:b w:val="0"/>
          <w:kern w:val="0"/>
        </w:rPr>
      </w:pPr>
      <w:r>
        <w:rPr>
          <w:rStyle w:val="13"/>
          <w:rFonts w:hint="eastAsia"/>
          <w:b w:val="0"/>
          <w:bCs/>
          <w:kern w:val="0"/>
        </w:rPr>
        <w:t>新高考的招生计划和院校专业组设置由各高校和江西省教育厅共同完成。各批次招生计划编制采取“院校专业组”模式，各招生高校可设置一个或多个“院校专业组”，每个“院校专业组”内可包含一个或多个专业。</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考生和家长可通过两个途径查询到2024年各高校的招生计划和院校专业组设置：一是查阅《高中生之友》杂志江西省2024年普通高校本（专）科招生计划增刊，二是查询2024年</w:t>
      </w:r>
      <w:r>
        <w:rPr>
          <w:rStyle w:val="13"/>
          <w:rFonts w:hint="eastAsia"/>
          <w:b w:val="0"/>
          <w:bCs/>
          <w:kern w:val="0"/>
        </w:rPr>
        <w:fldChar w:fldCharType="begin"/>
      </w:r>
      <w:r>
        <w:rPr>
          <w:rStyle w:val="13"/>
          <w:rFonts w:hint="eastAsia"/>
          <w:b w:val="0"/>
          <w:bCs/>
          <w:kern w:val="0"/>
        </w:rPr>
        <w:instrText xml:space="preserve"> HYPERLINK "https://xgk.jxeea.cn" \o "普通高考网上填报志愿（含征集志愿）" </w:instrText>
      </w:r>
      <w:r>
        <w:rPr>
          <w:rStyle w:val="13"/>
          <w:rFonts w:hint="eastAsia"/>
          <w:b w:val="0"/>
          <w:bCs/>
          <w:kern w:val="0"/>
        </w:rPr>
        <w:fldChar w:fldCharType="separate"/>
      </w:r>
      <w:r>
        <w:rPr>
          <w:rStyle w:val="9"/>
          <w:rFonts w:hint="eastAsia" w:ascii="Times New Roman" w:hAnsi="Times New Roman" w:cs="Times New Roman"/>
          <w:b w:val="0"/>
          <w:bCs/>
          <w:kern w:val="0"/>
        </w:rPr>
        <w:t>普通高考网上填报志愿</w:t>
      </w:r>
      <w:r>
        <w:rPr>
          <w:rStyle w:val="13"/>
          <w:rFonts w:hint="eastAsia"/>
          <w:b w:val="0"/>
          <w:bCs/>
          <w:kern w:val="0"/>
        </w:rPr>
        <w:fldChar w:fldCharType="end"/>
      </w:r>
      <w:r>
        <w:rPr>
          <w:rStyle w:val="13"/>
          <w:rFonts w:hint="eastAsia"/>
          <w:b w:val="0"/>
          <w:bCs/>
          <w:kern w:val="0"/>
        </w:rPr>
        <w:t>系统。</w:t>
      </w:r>
    </w:p>
    <w:p>
      <w:pPr>
        <w:overflowPunct w:val="0"/>
        <w:spacing w:line="520" w:lineRule="exact"/>
        <w:ind w:firstLine="640" w:firstLineChars="200"/>
        <w:outlineLvl w:val="0"/>
        <w:rPr>
          <w:rStyle w:val="13"/>
          <w:rFonts w:hint="eastAsia" w:ascii="黑体" w:hAnsi="黑体" w:eastAsia="黑体"/>
          <w:b w:val="0"/>
          <w:bCs/>
          <w:kern w:val="0"/>
        </w:rPr>
      </w:pPr>
      <w:bookmarkStart w:id="4" w:name="_Toc29299"/>
      <w:bookmarkEnd w:id="4"/>
      <w:bookmarkStart w:id="5" w:name="_Toc1749"/>
      <w:r>
        <w:rPr>
          <w:rStyle w:val="13"/>
          <w:rFonts w:hint="eastAsia" w:ascii="黑体" w:hAnsi="黑体" w:eastAsia="黑体"/>
          <w:b w:val="0"/>
          <w:bCs/>
          <w:kern w:val="0"/>
        </w:rPr>
        <w:t>5.新高考的录取批次有哪些？</w:t>
      </w:r>
      <w:bookmarkEnd w:id="5"/>
    </w:p>
    <w:p>
      <w:pPr>
        <w:overflowPunct w:val="0"/>
        <w:spacing w:line="520" w:lineRule="exact"/>
        <w:ind w:firstLine="640" w:firstLineChars="200"/>
        <w:rPr>
          <w:rStyle w:val="13"/>
          <w:rFonts w:hint="eastAsia" w:ascii="仿宋_GB2312"/>
          <w:b w:val="0"/>
          <w:bCs/>
          <w:kern w:val="0"/>
        </w:rPr>
      </w:pPr>
      <w:r>
        <w:rPr>
          <w:rStyle w:val="13"/>
          <w:rFonts w:hint="eastAsia"/>
          <w:b w:val="0"/>
          <w:bCs/>
          <w:kern w:val="0"/>
        </w:rPr>
        <w:t>我省考生报考科类分为普通类、体育类、艺术类，其中体育类、艺术类可兼报普通类。录取工作分批次依次进行，普通类和艺术类设提前本科、本科、提前高职（专科）、高职（专科）4个批次，体育类设本科、高职（专科）2个批次。</w:t>
      </w:r>
    </w:p>
    <w:p>
      <w:pPr>
        <w:overflowPunct w:val="0"/>
        <w:autoSpaceDE w:val="0"/>
        <w:spacing w:line="520" w:lineRule="exact"/>
        <w:ind w:firstLine="643" w:firstLineChars="200"/>
        <w:rPr>
          <w:rStyle w:val="13"/>
          <w:rFonts w:hint="eastAsia"/>
          <w:b w:val="0"/>
          <w:bCs/>
          <w:kern w:val="0"/>
        </w:rPr>
      </w:pPr>
      <w:r>
        <w:rPr>
          <w:rStyle w:val="13"/>
          <w:rFonts w:hint="eastAsia"/>
          <w:kern w:val="0"/>
        </w:rPr>
        <w:t>（1）提前本科批次：</w:t>
      </w:r>
      <w:r>
        <w:rPr>
          <w:rStyle w:val="13"/>
          <w:rFonts w:hint="eastAsia"/>
          <w:b w:val="0"/>
          <w:bCs/>
          <w:kern w:val="0"/>
        </w:rPr>
        <w:t>普通类安排空军招飞、海军招飞、军事、公安、消防、司法、民航招飞、航海类、小语种、定向招生（含公费师范生、优师专项）、综合评价录取、全国重点马克思主义学院的马克思主义理论专业以及须政审面试的国家专项等专业；艺术类安排采用艺术校考成绩录取的专业以及戏曲类专业等。</w:t>
      </w:r>
    </w:p>
    <w:p>
      <w:pPr>
        <w:overflowPunct w:val="0"/>
        <w:autoSpaceDE w:val="0"/>
        <w:spacing w:line="520" w:lineRule="exact"/>
        <w:ind w:firstLine="643" w:firstLineChars="200"/>
        <w:rPr>
          <w:rStyle w:val="13"/>
          <w:rFonts w:hint="eastAsia"/>
          <w:b w:val="0"/>
          <w:bCs/>
          <w:kern w:val="0"/>
        </w:rPr>
      </w:pPr>
      <w:r>
        <w:rPr>
          <w:rStyle w:val="13"/>
          <w:rFonts w:hint="eastAsia"/>
          <w:kern w:val="0"/>
        </w:rPr>
        <w:t>（2）本科批次：</w:t>
      </w:r>
      <w:r>
        <w:rPr>
          <w:rStyle w:val="13"/>
          <w:rFonts w:hint="eastAsia"/>
          <w:b w:val="0"/>
          <w:bCs/>
          <w:kern w:val="0"/>
        </w:rPr>
        <w:t>普通类安排除列入提前批本科录取的所有本科专业，包括高水平运动队、高校专项、国家专项、苏区专项、地方专项等；艺术类安排采用省统考成绩作为专业成绩录取的本科专业；体育类安排所有体育类本科专业。</w:t>
      </w:r>
    </w:p>
    <w:p>
      <w:pPr>
        <w:overflowPunct w:val="0"/>
        <w:autoSpaceDE w:val="0"/>
        <w:spacing w:line="520" w:lineRule="exact"/>
        <w:ind w:firstLine="643" w:firstLineChars="200"/>
        <w:rPr>
          <w:rStyle w:val="13"/>
          <w:rFonts w:hint="eastAsia"/>
          <w:b w:val="0"/>
          <w:bCs/>
          <w:kern w:val="0"/>
        </w:rPr>
      </w:pPr>
      <w:r>
        <w:rPr>
          <w:rStyle w:val="13"/>
          <w:rFonts w:hint="eastAsia"/>
          <w:kern w:val="0"/>
        </w:rPr>
        <w:t>（3）提前高职（专科）批次：</w:t>
      </w:r>
      <w:r>
        <w:rPr>
          <w:rStyle w:val="13"/>
          <w:rFonts w:hint="eastAsia"/>
          <w:b w:val="0"/>
          <w:bCs/>
          <w:kern w:val="0"/>
        </w:rPr>
        <w:t>普通类安排定向培养军士、公安、司法，以及部分对考生有特殊要求的高职（专科）专业，艺术类安排经批准同意列入本批次录取的有关高职（专科）艺术类专业。</w:t>
      </w:r>
    </w:p>
    <w:p>
      <w:pPr>
        <w:overflowPunct w:val="0"/>
        <w:spacing w:line="520" w:lineRule="exact"/>
        <w:ind w:firstLine="643" w:firstLineChars="200"/>
        <w:rPr>
          <w:rStyle w:val="13"/>
          <w:rFonts w:hint="eastAsia"/>
          <w:b w:val="0"/>
          <w:bCs/>
          <w:kern w:val="0"/>
        </w:rPr>
      </w:pPr>
      <w:r>
        <w:rPr>
          <w:rStyle w:val="13"/>
          <w:rFonts w:hint="eastAsia"/>
          <w:kern w:val="0"/>
        </w:rPr>
        <w:t>（4）高职（专科）批次：</w:t>
      </w:r>
      <w:r>
        <w:rPr>
          <w:rStyle w:val="13"/>
          <w:rFonts w:hint="eastAsia"/>
          <w:b w:val="0"/>
          <w:bCs/>
          <w:kern w:val="0"/>
        </w:rPr>
        <w:t>普通类、艺术类安排除提前批高职（专科）以外的其他高职（专科）专业，体育类安排所有体育类高职（专科）专业。</w:t>
      </w:r>
    </w:p>
    <w:p>
      <w:pPr>
        <w:overflowPunct w:val="0"/>
        <w:spacing w:line="520" w:lineRule="exact"/>
        <w:ind w:firstLine="640" w:firstLineChars="200"/>
        <w:outlineLvl w:val="0"/>
        <w:rPr>
          <w:rStyle w:val="13"/>
          <w:rFonts w:hint="eastAsia" w:ascii="黑体" w:hAnsi="黑体" w:eastAsia="黑体"/>
          <w:b w:val="0"/>
          <w:bCs/>
          <w:kern w:val="0"/>
        </w:rPr>
      </w:pPr>
      <w:bookmarkStart w:id="6" w:name="_Toc11279"/>
      <w:bookmarkEnd w:id="6"/>
      <w:bookmarkStart w:id="7" w:name="_Toc23273"/>
      <w:r>
        <w:rPr>
          <w:rStyle w:val="13"/>
          <w:rFonts w:hint="eastAsia" w:ascii="黑体" w:hAnsi="黑体" w:eastAsia="黑体"/>
          <w:b w:val="0"/>
          <w:bCs/>
          <w:kern w:val="0"/>
        </w:rPr>
        <w:t>6.各批次的录取控制分数线如何划定？</w:t>
      </w:r>
      <w:bookmarkEnd w:id="7"/>
    </w:p>
    <w:p>
      <w:pPr>
        <w:overflowPunct w:val="0"/>
        <w:spacing w:line="520" w:lineRule="exact"/>
        <w:ind w:firstLine="640" w:firstLineChars="200"/>
        <w:rPr>
          <w:rStyle w:val="13"/>
          <w:rFonts w:hint="eastAsia" w:ascii="仿宋_GB2312"/>
          <w:b w:val="0"/>
          <w:bCs/>
          <w:kern w:val="0"/>
        </w:rPr>
      </w:pPr>
      <w:r>
        <w:rPr>
          <w:rStyle w:val="13"/>
          <w:rFonts w:hint="eastAsia"/>
          <w:b w:val="0"/>
          <w:bCs/>
          <w:kern w:val="0"/>
        </w:rPr>
        <w:t>根据高校在我省安排的招生计划数、生源情况、考生成绩等因素，综合考虑确定各批次录取控制分数线。</w:t>
      </w:r>
    </w:p>
    <w:p>
      <w:pPr>
        <w:overflowPunct w:val="0"/>
        <w:spacing w:line="520" w:lineRule="exact"/>
        <w:ind w:firstLine="643" w:firstLineChars="200"/>
        <w:rPr>
          <w:rStyle w:val="13"/>
          <w:rFonts w:hint="eastAsia"/>
          <w:kern w:val="0"/>
        </w:rPr>
      </w:pPr>
      <w:r>
        <w:rPr>
          <w:rStyle w:val="13"/>
          <w:rFonts w:hint="eastAsia"/>
          <w:kern w:val="0"/>
        </w:rPr>
        <w:t>（1）普通类录取控制分数线。</w:t>
      </w:r>
    </w:p>
    <w:p>
      <w:pPr>
        <w:overflowPunct w:val="0"/>
        <w:spacing w:line="520" w:lineRule="exact"/>
        <w:ind w:firstLine="640" w:firstLineChars="200"/>
        <w:rPr>
          <w:rStyle w:val="13"/>
          <w:rFonts w:hint="eastAsia"/>
          <w:b w:val="0"/>
          <w:bCs/>
          <w:kern w:val="0"/>
        </w:rPr>
      </w:pPr>
      <w:r>
        <w:rPr>
          <w:rStyle w:val="13"/>
          <w:rFonts w:hint="eastAsia"/>
          <w:b w:val="0"/>
          <w:bCs/>
          <w:kern w:val="0"/>
        </w:rPr>
        <w:t>根据考生高考总成绩、招生计划数和生源情况，按一定比例划定相应类别的特殊类型招生录取参考分数线和本科、高职（专科）录取控制分数线</w:t>
      </w:r>
      <w:r>
        <w:rPr>
          <w:rStyle w:val="13"/>
          <w:rFonts w:hint="eastAsia"/>
          <w:b w:val="0"/>
          <w:bCs/>
          <w:kern w:val="0"/>
          <w:lang w:eastAsia="zh-CN"/>
        </w:rPr>
        <w:t>。</w:t>
      </w:r>
      <w:r>
        <w:rPr>
          <w:rStyle w:val="13"/>
          <w:rFonts w:hint="eastAsia"/>
          <w:b w:val="0"/>
          <w:bCs/>
          <w:kern w:val="0"/>
        </w:rPr>
        <w:t>其中，特殊类型招生录取参考分数线作为强基计划、高校专项计划等部分特殊类型招生参考线。</w:t>
      </w:r>
    </w:p>
    <w:p>
      <w:pPr>
        <w:overflowPunct w:val="0"/>
        <w:spacing w:line="520" w:lineRule="exact"/>
        <w:ind w:firstLine="643" w:firstLineChars="200"/>
        <w:rPr>
          <w:rStyle w:val="13"/>
          <w:rFonts w:hint="eastAsia"/>
          <w:kern w:val="0"/>
        </w:rPr>
      </w:pPr>
      <w:r>
        <w:rPr>
          <w:rStyle w:val="13"/>
          <w:rFonts w:hint="eastAsia"/>
          <w:kern w:val="0"/>
        </w:rPr>
        <w:t>（2）艺术类录取文化控制分数线。</w:t>
      </w:r>
    </w:p>
    <w:p>
      <w:pPr>
        <w:overflowPunct w:val="0"/>
        <w:spacing w:line="520" w:lineRule="exact"/>
        <w:ind w:firstLine="640" w:firstLineChars="200"/>
        <w:rPr>
          <w:rStyle w:val="13"/>
          <w:rFonts w:hint="eastAsia"/>
          <w:b w:val="0"/>
          <w:bCs/>
          <w:kern w:val="0"/>
        </w:rPr>
      </w:pPr>
      <w:r>
        <w:rPr>
          <w:rStyle w:val="13"/>
          <w:rFonts w:hint="eastAsia"/>
          <w:b w:val="0"/>
          <w:bCs/>
          <w:kern w:val="0"/>
        </w:rPr>
        <w:t>省统考专业：不分首选科目，播音与主持类相关专业的本科、高职（专科）文化控制线原则上须分别达到我省普通类本科、高职（专科）批次录取最低控制分数线。其他科类相关专业的本科、高职（专科）文化控制线，分别按我省普通类本科、高职（专科）批次录取最低控制分数线的75%、70%划定（具体要求见《</w:t>
      </w:r>
      <w:r>
        <w:rPr>
          <w:rFonts w:hint="eastAsia"/>
          <w:kern w:val="0"/>
        </w:rPr>
        <w:t>江西省2024年艺术类专业招生录取工作实施办法》）</w:t>
      </w:r>
      <w:r>
        <w:rPr>
          <w:rStyle w:val="13"/>
          <w:rFonts w:hint="eastAsia"/>
          <w:b w:val="0"/>
          <w:bCs/>
          <w:kern w:val="0"/>
        </w:rPr>
        <w:t>。</w:t>
      </w:r>
    </w:p>
    <w:p>
      <w:pPr>
        <w:overflowPunct w:val="0"/>
        <w:spacing w:line="520" w:lineRule="exact"/>
        <w:ind w:firstLine="640" w:firstLineChars="200"/>
        <w:rPr>
          <w:rStyle w:val="13"/>
          <w:rFonts w:hint="eastAsia"/>
          <w:b w:val="0"/>
          <w:bCs/>
          <w:kern w:val="0"/>
        </w:rPr>
      </w:pPr>
      <w:r>
        <w:rPr>
          <w:rStyle w:val="13"/>
          <w:rFonts w:hint="eastAsia"/>
          <w:b w:val="0"/>
          <w:bCs/>
          <w:kern w:val="0"/>
        </w:rPr>
        <w:t>校考专业：</w:t>
      </w:r>
      <w:r>
        <w:rPr>
          <w:rStyle w:val="13"/>
          <w:rFonts w:hint="eastAsia"/>
          <w:b/>
          <w:bCs w:val="0"/>
          <w:kern w:val="0"/>
        </w:rPr>
        <w:t>通过校考的考生，高考文化成绩原则上须达到我省普通类相应批次录取最低控制分数线。</w:t>
      </w:r>
      <w:r>
        <w:rPr>
          <w:rStyle w:val="13"/>
          <w:rFonts w:hint="eastAsia"/>
          <w:b w:val="0"/>
          <w:bCs/>
          <w:kern w:val="0"/>
        </w:rPr>
        <w:t>鼓励高校结合专业培养要求，进一步提高考生高考文化成绩录取要求。对于在相关专业领域具有突出才能和表现，并取得校考高校文化成绩破格资格的考生，其高考文化成绩要求依据招生高校相关破格录取办法和规定程序确定。</w:t>
      </w:r>
    </w:p>
    <w:p>
      <w:pPr>
        <w:overflowPunct w:val="0"/>
        <w:spacing w:line="520" w:lineRule="exact"/>
        <w:ind w:firstLine="643" w:firstLineChars="200"/>
        <w:rPr>
          <w:rStyle w:val="13"/>
          <w:rFonts w:hint="eastAsia"/>
          <w:kern w:val="0"/>
        </w:rPr>
      </w:pPr>
      <w:r>
        <w:rPr>
          <w:rStyle w:val="13"/>
          <w:rFonts w:hint="eastAsia"/>
          <w:kern w:val="0"/>
        </w:rPr>
        <w:t>（3）艺术类录取专业控制分数线。</w:t>
      </w:r>
    </w:p>
    <w:p>
      <w:pPr>
        <w:overflowPunct w:val="0"/>
        <w:spacing w:line="520" w:lineRule="exact"/>
        <w:ind w:firstLine="640" w:firstLineChars="200"/>
        <w:rPr>
          <w:rStyle w:val="13"/>
          <w:rFonts w:hint="eastAsia"/>
          <w:b w:val="0"/>
          <w:bCs/>
          <w:kern w:val="0"/>
        </w:rPr>
      </w:pPr>
      <w:r>
        <w:rPr>
          <w:rStyle w:val="13"/>
          <w:rFonts w:hint="eastAsia"/>
          <w:b w:val="0"/>
          <w:bCs/>
          <w:kern w:val="0"/>
        </w:rPr>
        <w:t>省统考专业：省统考本科专业控制线待高考文化成绩发布后，依据相关科类招生计划、文化上线考生专业成绩等综合划定。高职（专科）层次专业控制线（亦作为校考专业资格线）定为：书法类、美术与设计类：180分；音乐类、播音与主持类：150分；舞蹈类、表（导）演类：135分。</w:t>
      </w:r>
    </w:p>
    <w:p>
      <w:pPr>
        <w:overflowPunct w:val="0"/>
        <w:spacing w:line="520" w:lineRule="exact"/>
        <w:ind w:firstLine="640" w:firstLineChars="200"/>
        <w:rPr>
          <w:rStyle w:val="13"/>
          <w:rFonts w:hint="eastAsia"/>
          <w:b w:val="0"/>
          <w:bCs/>
          <w:kern w:val="0"/>
        </w:rPr>
      </w:pPr>
      <w:r>
        <w:rPr>
          <w:rStyle w:val="13"/>
          <w:rFonts w:hint="eastAsia"/>
          <w:b w:val="0"/>
          <w:bCs/>
          <w:kern w:val="0"/>
        </w:rPr>
        <w:t>校考专业：校考专业的专业控制线由高校划定。考生须参加省统考且成绩合格（即达到校考专业资格线），校考高校可在我省艺术类校考专业资格线基础上，进一步提高要求。</w:t>
      </w:r>
    </w:p>
    <w:p>
      <w:pPr>
        <w:overflowPunct w:val="0"/>
        <w:spacing w:line="520" w:lineRule="exact"/>
        <w:ind w:firstLine="640" w:firstLineChars="200"/>
        <w:rPr>
          <w:rStyle w:val="13"/>
          <w:rFonts w:hint="eastAsia"/>
          <w:b w:val="0"/>
          <w:bCs/>
          <w:kern w:val="0"/>
        </w:rPr>
      </w:pPr>
      <w:r>
        <w:rPr>
          <w:rStyle w:val="13"/>
          <w:rFonts w:hint="eastAsia"/>
          <w:b w:val="0"/>
          <w:bCs/>
          <w:kern w:val="0"/>
        </w:rPr>
        <w:t>省际联考戏曲类专业：依据普通高校戏曲类专业招生省际联考工作协调小组有关规定执行。未参加省际联考的考生，不能参加戏曲类专业录取。</w:t>
      </w:r>
    </w:p>
    <w:p>
      <w:pPr>
        <w:overflowPunct w:val="0"/>
        <w:spacing w:line="520" w:lineRule="exact"/>
        <w:ind w:firstLine="643" w:firstLineChars="200"/>
        <w:rPr>
          <w:rStyle w:val="13"/>
          <w:rFonts w:hint="eastAsia"/>
          <w:kern w:val="0"/>
        </w:rPr>
      </w:pPr>
      <w:r>
        <w:rPr>
          <w:rStyle w:val="13"/>
          <w:rFonts w:hint="eastAsia"/>
          <w:kern w:val="0"/>
        </w:rPr>
        <w:t>（4）体育类录取控制分数线。</w:t>
      </w:r>
    </w:p>
    <w:p>
      <w:pPr>
        <w:overflowPunct w:val="0"/>
        <w:spacing w:line="520" w:lineRule="exact"/>
        <w:ind w:firstLine="640" w:firstLineChars="200"/>
        <w:rPr>
          <w:rStyle w:val="13"/>
          <w:rFonts w:hint="eastAsia"/>
          <w:b w:val="0"/>
          <w:bCs/>
          <w:kern w:val="0"/>
        </w:rPr>
      </w:pPr>
      <w:r>
        <w:rPr>
          <w:rStyle w:val="13"/>
          <w:rFonts w:hint="eastAsia"/>
          <w:b w:val="0"/>
          <w:bCs/>
          <w:kern w:val="0"/>
        </w:rPr>
        <w:t>文化控制线：体育类本科、高职（专科）院校录取文化控制分数线，分别按我省普通类本科、高职（专科）录取最低文化控制分数线的70％划定。</w:t>
      </w:r>
    </w:p>
    <w:p>
      <w:pPr>
        <w:overflowPunct w:val="0"/>
        <w:spacing w:line="520" w:lineRule="exact"/>
        <w:ind w:firstLine="640" w:firstLineChars="200"/>
        <w:rPr>
          <w:rFonts w:hint="eastAsia" w:hAnsi="Calibri"/>
        </w:rPr>
      </w:pPr>
      <w:r>
        <w:rPr>
          <w:rFonts w:hint="eastAsia" w:hAnsi="Calibri"/>
        </w:rPr>
        <w:t>专业合格线：按照2024年教育部下达我省体育类本科专业招生计划数的一定比例，划定体育类专业本科合格考生人数，以此确定体育类本科专业合格线。</w:t>
      </w:r>
      <w:r>
        <w:rPr>
          <w:rFonts w:hint="eastAsia" w:cs="宋体"/>
          <w:kern w:val="0"/>
        </w:rPr>
        <w:t>体育类高职（专科）专业合格线确定为60分。</w:t>
      </w:r>
    </w:p>
    <w:p>
      <w:pPr>
        <w:overflowPunct w:val="0"/>
        <w:spacing w:line="520" w:lineRule="exact"/>
        <w:ind w:firstLine="640" w:firstLineChars="200"/>
        <w:outlineLvl w:val="0"/>
        <w:rPr>
          <w:rStyle w:val="13"/>
          <w:rFonts w:hint="eastAsia" w:ascii="黑体" w:hAnsi="黑体" w:eastAsia="黑体"/>
          <w:b w:val="0"/>
          <w:bCs/>
          <w:kern w:val="0"/>
        </w:rPr>
      </w:pPr>
      <w:bookmarkStart w:id="8" w:name="_Toc10030"/>
      <w:bookmarkEnd w:id="8"/>
      <w:bookmarkStart w:id="9" w:name="_Toc7281"/>
      <w:r>
        <w:rPr>
          <w:rStyle w:val="13"/>
          <w:rFonts w:hint="eastAsia" w:ascii="黑体" w:hAnsi="黑体" w:eastAsia="黑体"/>
          <w:b w:val="0"/>
          <w:bCs/>
          <w:kern w:val="0"/>
        </w:rPr>
        <w:t>7.2024年志愿填报与改革前有什么不同？</w:t>
      </w:r>
      <w:bookmarkEnd w:id="9"/>
    </w:p>
    <w:p>
      <w:pPr>
        <w:overflowPunct w:val="0"/>
        <w:spacing w:line="520" w:lineRule="exact"/>
        <w:ind w:firstLine="643" w:firstLineChars="200"/>
        <w:rPr>
          <w:rStyle w:val="13"/>
          <w:rFonts w:hint="eastAsia" w:ascii="仿宋_GB2312"/>
          <w:b w:val="0"/>
          <w:bCs/>
          <w:kern w:val="0"/>
        </w:rPr>
      </w:pPr>
      <w:r>
        <w:rPr>
          <w:rStyle w:val="13"/>
          <w:rFonts w:hint="eastAsia"/>
          <w:kern w:val="0"/>
        </w:rPr>
        <w:t>一是</w:t>
      </w:r>
      <w:r>
        <w:rPr>
          <w:rStyle w:val="13"/>
          <w:rFonts w:hint="eastAsia"/>
          <w:b w:val="0"/>
          <w:bCs/>
          <w:kern w:val="0"/>
        </w:rPr>
        <w:t>志愿填报单位的变化。改革前以“院校”为志愿填报单位，1所院校即为1个志愿，按“1所院校＋多个专业”的方式进行志愿填报，在院校内选择专业志愿和“是否服从专业调剂”。改革后以“院校专业组”为志愿填报单位，1个院校专业组即为1个志愿，按“1个院校专业组+多个专业”的方式进行志愿填报，在“院校专业组”内选择专业志愿和“是否服从专业组内专业调剂”。</w:t>
      </w:r>
    </w:p>
    <w:p>
      <w:pPr>
        <w:overflowPunct w:val="0"/>
        <w:spacing w:line="520" w:lineRule="exact"/>
        <w:ind w:firstLine="643" w:firstLineChars="200"/>
        <w:rPr>
          <w:rStyle w:val="13"/>
          <w:rFonts w:hint="eastAsia"/>
          <w:b w:val="0"/>
          <w:bCs/>
          <w:kern w:val="0"/>
        </w:rPr>
      </w:pPr>
      <w:r>
        <w:rPr>
          <w:rStyle w:val="13"/>
          <w:rFonts w:hint="eastAsia"/>
          <w:kern w:val="0"/>
        </w:rPr>
        <w:t>二是</w:t>
      </w:r>
      <w:r>
        <w:rPr>
          <w:rStyle w:val="13"/>
          <w:rFonts w:hint="eastAsia"/>
          <w:b w:val="0"/>
          <w:bCs/>
          <w:kern w:val="0"/>
        </w:rPr>
        <w:t>平行志愿数量的变化。改革前，各批次平行志愿设置16个院校志愿；改革后，本科批次、高职（专科）批次设置45个院校专业组平行志愿。改革前，本科批次、高职（专科）批次征集志愿设置10个平行志愿；改革后，本科批次、高职（专科）批次设置20个院校专业组平行志愿。</w:t>
      </w:r>
    </w:p>
    <w:p>
      <w:pPr>
        <w:overflowPunct w:val="0"/>
        <w:spacing w:line="520" w:lineRule="exact"/>
        <w:ind w:firstLine="643" w:firstLineChars="200"/>
        <w:rPr>
          <w:rStyle w:val="13"/>
          <w:rFonts w:hint="eastAsia"/>
          <w:b w:val="0"/>
          <w:bCs/>
          <w:kern w:val="0"/>
        </w:rPr>
      </w:pPr>
      <w:r>
        <w:rPr>
          <w:rStyle w:val="13"/>
          <w:rFonts w:hint="eastAsia"/>
          <w:kern w:val="0"/>
        </w:rPr>
        <w:t>三是</w:t>
      </w:r>
      <w:r>
        <w:rPr>
          <w:rStyle w:val="13"/>
          <w:rFonts w:hint="eastAsia"/>
          <w:b w:val="0"/>
          <w:bCs/>
          <w:kern w:val="0"/>
        </w:rPr>
        <w:t>志愿填报要求的变化。改革前，考生按照自己所报考的科类（理工类、文史类）填报相应的院校志愿。改革后，在填报志愿时，由于招生高校增加了选择性考试科目要求，考生须按照院校专业组对应的选择性考试科目要求填报。</w:t>
      </w:r>
    </w:p>
    <w:p>
      <w:pPr>
        <w:overflowPunct w:val="0"/>
        <w:spacing w:line="520" w:lineRule="exact"/>
        <w:ind w:firstLine="640" w:firstLineChars="200"/>
        <w:outlineLvl w:val="0"/>
        <w:rPr>
          <w:rStyle w:val="13"/>
          <w:rFonts w:hint="eastAsia" w:ascii="黑体" w:hAnsi="黑体" w:eastAsia="黑体"/>
          <w:b w:val="0"/>
          <w:bCs/>
          <w:kern w:val="0"/>
        </w:rPr>
      </w:pPr>
      <w:bookmarkStart w:id="10" w:name="_Toc12430"/>
      <w:bookmarkEnd w:id="10"/>
      <w:bookmarkStart w:id="11" w:name="_Toc25223"/>
      <w:bookmarkEnd w:id="11"/>
      <w:bookmarkStart w:id="12" w:name="_Toc32661"/>
      <w:r>
        <w:rPr>
          <w:rStyle w:val="13"/>
          <w:rFonts w:hint="eastAsia" w:ascii="黑体" w:hAnsi="黑体" w:eastAsia="黑体"/>
          <w:b w:val="0"/>
          <w:bCs/>
          <w:kern w:val="0"/>
        </w:rPr>
        <w:t>8.各录取批次可填报多少个志愿？</w:t>
      </w:r>
      <w:bookmarkEnd w:id="12"/>
    </w:p>
    <w:p>
      <w:pPr>
        <w:overflowPunct w:val="0"/>
        <w:spacing w:line="520" w:lineRule="exact"/>
        <w:ind w:firstLine="640" w:firstLineChars="200"/>
        <w:rPr>
          <w:rStyle w:val="13"/>
          <w:rFonts w:hint="eastAsia" w:ascii="仿宋_GB2312"/>
          <w:b w:val="0"/>
          <w:bCs/>
          <w:kern w:val="0"/>
        </w:rPr>
      </w:pPr>
      <w:r>
        <w:rPr>
          <w:rStyle w:val="13"/>
          <w:rFonts w:hint="eastAsia"/>
          <w:b w:val="0"/>
          <w:bCs/>
          <w:kern w:val="0"/>
        </w:rPr>
        <w:t>每个“院校专业组”即为一个独立的志愿，内设6个专业志愿，考生在每个院校专业组志愿中均须选择是否服从专业调剂。</w:t>
      </w:r>
    </w:p>
    <w:p>
      <w:pPr>
        <w:overflowPunct w:val="0"/>
        <w:spacing w:line="520" w:lineRule="exact"/>
        <w:ind w:firstLine="643" w:firstLineChars="200"/>
        <w:rPr>
          <w:rStyle w:val="13"/>
          <w:rFonts w:hint="eastAsia"/>
          <w:kern w:val="0"/>
        </w:rPr>
      </w:pPr>
      <w:r>
        <w:rPr>
          <w:rStyle w:val="13"/>
          <w:rFonts w:hint="eastAsia"/>
          <w:kern w:val="0"/>
        </w:rPr>
        <w:t>（1）普通类</w:t>
      </w:r>
    </w:p>
    <w:p>
      <w:pPr>
        <w:overflowPunct w:val="0"/>
        <w:spacing w:line="520" w:lineRule="exact"/>
        <w:ind w:firstLine="640" w:firstLineChars="200"/>
        <w:rPr>
          <w:rStyle w:val="13"/>
          <w:rFonts w:hint="eastAsia"/>
          <w:b w:val="0"/>
          <w:bCs/>
          <w:kern w:val="0"/>
        </w:rPr>
      </w:pPr>
      <w:r>
        <w:rPr>
          <w:rStyle w:val="13"/>
          <w:rFonts w:hint="eastAsia"/>
          <w:b w:val="0"/>
          <w:bCs/>
          <w:kern w:val="0"/>
        </w:rPr>
        <w:t>提前本科批次：设军事类单志愿、军事类平行志愿、非军事类单志愿和定向招生平行志愿4个志愿栏，平行志愿栏分别设45个“院校专业组”，单志愿栏设1个“院校专业组”。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军事类单志愿不安排征集志愿，其余志愿安排1次征集志愿。平行志愿栏设20个“院校专业组”，单志愿栏设1个“院校专业组”。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本科批次：设特殊选拔单志愿和平行志愿2个志愿栏，特殊选拔单志愿栏设1个“院校专业组”，平行志愿栏设45个“院校专业组”。特殊选拔单志愿栏仅限取得高校专项、高水平运动队招生资格的考生填报，平行志愿中“国家专项”“地方专项”“苏区专项”计划仅限取得相应资格的考生填报。</w:t>
      </w:r>
    </w:p>
    <w:p>
      <w:pPr>
        <w:overflowPunct w:val="0"/>
        <w:spacing w:line="520" w:lineRule="exact"/>
        <w:ind w:firstLine="640" w:firstLineChars="200"/>
        <w:rPr>
          <w:rStyle w:val="13"/>
          <w:rFonts w:hint="eastAsia"/>
          <w:b w:val="0"/>
          <w:bCs/>
          <w:kern w:val="0"/>
        </w:rPr>
      </w:pPr>
      <w:r>
        <w:rPr>
          <w:rStyle w:val="13"/>
          <w:rFonts w:hint="eastAsia"/>
          <w:b w:val="0"/>
          <w:bCs/>
          <w:kern w:val="0"/>
        </w:rPr>
        <w:t>特殊选拔单志愿不安排征集志愿。平行志愿安排2次征集志愿，每次设20个“院校专业组”。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提前高职（专科）批次：设单志愿和平行志愿2个志愿栏，平行志愿栏设45个“院校专业组”，单志愿栏设1个“院校专业组”。定向培养军士生志愿填在平行志愿栏，其他院校专业填在单志愿栏。</w:t>
      </w:r>
    </w:p>
    <w:p>
      <w:pPr>
        <w:overflowPunct w:val="0"/>
        <w:spacing w:line="520" w:lineRule="exact"/>
        <w:ind w:firstLine="640" w:firstLineChars="200"/>
        <w:rPr>
          <w:rStyle w:val="13"/>
          <w:rFonts w:hint="eastAsia"/>
          <w:b w:val="0"/>
          <w:bCs/>
          <w:kern w:val="0"/>
        </w:rPr>
      </w:pPr>
      <w:r>
        <w:rPr>
          <w:rStyle w:val="13"/>
          <w:rFonts w:hint="eastAsia"/>
          <w:b w:val="0"/>
          <w:bCs/>
          <w:kern w:val="0"/>
        </w:rPr>
        <w:t>安排1次征集志愿，平行志愿栏设20个“院校专业组”，单志愿栏设1个“院校专业组”。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高职（专科）批次：设平行志愿，45个“院校专业组”。安排2次征集志愿，每次设20个“院校专业组”。</w:t>
      </w:r>
    </w:p>
    <w:p>
      <w:pPr>
        <w:overflowPunct w:val="0"/>
        <w:spacing w:line="520" w:lineRule="exact"/>
        <w:ind w:firstLine="643" w:firstLineChars="200"/>
        <w:rPr>
          <w:rStyle w:val="13"/>
          <w:rFonts w:hint="eastAsia"/>
          <w:kern w:val="0"/>
        </w:rPr>
      </w:pPr>
      <w:r>
        <w:rPr>
          <w:rStyle w:val="13"/>
          <w:rFonts w:hint="eastAsia"/>
          <w:kern w:val="0"/>
        </w:rPr>
        <w:t>（2）艺术类</w:t>
      </w:r>
    </w:p>
    <w:p>
      <w:pPr>
        <w:overflowPunct w:val="0"/>
        <w:spacing w:line="520" w:lineRule="exact"/>
        <w:ind w:firstLine="640" w:firstLineChars="200"/>
        <w:rPr>
          <w:rStyle w:val="13"/>
          <w:rFonts w:hint="eastAsia"/>
          <w:b w:val="0"/>
          <w:bCs/>
          <w:kern w:val="0"/>
        </w:rPr>
      </w:pPr>
      <w:r>
        <w:rPr>
          <w:rStyle w:val="13"/>
          <w:rFonts w:hint="eastAsia"/>
          <w:b w:val="0"/>
          <w:bCs/>
          <w:kern w:val="0"/>
        </w:rPr>
        <w:t>提前本科批次：设单志愿，1个“院校专业组”。不安排征集志愿。</w:t>
      </w:r>
    </w:p>
    <w:p>
      <w:pPr>
        <w:overflowPunct w:val="0"/>
        <w:spacing w:line="520" w:lineRule="exact"/>
        <w:ind w:firstLine="640" w:firstLineChars="200"/>
        <w:rPr>
          <w:rStyle w:val="13"/>
          <w:rFonts w:hint="eastAsia"/>
          <w:b w:val="0"/>
          <w:bCs/>
          <w:kern w:val="0"/>
        </w:rPr>
      </w:pPr>
      <w:r>
        <w:rPr>
          <w:rStyle w:val="13"/>
          <w:rFonts w:hint="eastAsia"/>
          <w:b w:val="0"/>
          <w:bCs/>
          <w:kern w:val="0"/>
        </w:rPr>
        <w:t>本科批次：设平行志愿，45个“院校专业组”。安排2次征集志愿，每次设20个“院校专业组”。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提前高职（专科）批次：设单志愿，1个“院校专业组”。安排1次征集，设1个“院校专业组”。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高职（专科）批次：设平行志愿，45个“院校专业组”。安排2次征集志愿，每次设20个“院校专业组”。</w:t>
      </w:r>
    </w:p>
    <w:p>
      <w:pPr>
        <w:overflowPunct w:val="0"/>
        <w:spacing w:line="520" w:lineRule="exact"/>
        <w:ind w:firstLine="643" w:firstLineChars="200"/>
        <w:rPr>
          <w:rStyle w:val="13"/>
          <w:rFonts w:hint="eastAsia"/>
          <w:kern w:val="0"/>
        </w:rPr>
      </w:pPr>
      <w:r>
        <w:rPr>
          <w:rStyle w:val="13"/>
          <w:rFonts w:hint="eastAsia"/>
          <w:kern w:val="0"/>
        </w:rPr>
        <w:t>（3）体育类</w:t>
      </w:r>
    </w:p>
    <w:p>
      <w:pPr>
        <w:overflowPunct w:val="0"/>
        <w:spacing w:line="520" w:lineRule="exact"/>
        <w:ind w:firstLine="640" w:firstLineChars="200"/>
        <w:rPr>
          <w:rStyle w:val="13"/>
          <w:rFonts w:hint="eastAsia"/>
          <w:b w:val="0"/>
          <w:bCs/>
          <w:kern w:val="0"/>
        </w:rPr>
      </w:pPr>
      <w:r>
        <w:rPr>
          <w:rStyle w:val="13"/>
          <w:rFonts w:hint="eastAsia"/>
          <w:b w:val="0"/>
          <w:bCs/>
          <w:kern w:val="0"/>
        </w:rPr>
        <w:t>本科批次：设平行志愿，45个“院校专业组”。安排2次征集志愿，每次设20个“院校专业组”。</w:t>
      </w:r>
    </w:p>
    <w:p>
      <w:pPr>
        <w:overflowPunct w:val="0"/>
        <w:spacing w:line="520" w:lineRule="exact"/>
        <w:ind w:firstLine="640" w:firstLineChars="200"/>
        <w:rPr>
          <w:rStyle w:val="13"/>
          <w:rFonts w:hint="eastAsia"/>
          <w:b w:val="0"/>
          <w:bCs/>
          <w:kern w:val="0"/>
        </w:rPr>
      </w:pPr>
      <w:r>
        <w:rPr>
          <w:rStyle w:val="13"/>
          <w:rFonts w:hint="eastAsia"/>
          <w:b w:val="0"/>
          <w:bCs/>
          <w:kern w:val="0"/>
        </w:rPr>
        <w:t>高职（专科）批次：设平行志愿，45个“院校专业组”。安排2次征集志愿，每次设20个“院校专业组”。</w:t>
      </w:r>
    </w:p>
    <w:p>
      <w:pPr>
        <w:overflowPunct w:val="0"/>
        <w:spacing w:line="520" w:lineRule="exact"/>
        <w:ind w:firstLine="640" w:firstLineChars="200"/>
        <w:outlineLvl w:val="0"/>
        <w:rPr>
          <w:rStyle w:val="13"/>
          <w:rFonts w:hint="eastAsia" w:ascii="黑体" w:hAnsi="黑体" w:eastAsia="黑体"/>
          <w:b w:val="0"/>
          <w:bCs/>
          <w:kern w:val="0"/>
        </w:rPr>
      </w:pPr>
      <w:bookmarkStart w:id="13" w:name="_Toc6858"/>
      <w:bookmarkEnd w:id="13"/>
      <w:r>
        <w:rPr>
          <w:rStyle w:val="13"/>
          <w:rFonts w:hint="eastAsia" w:ascii="黑体" w:hAnsi="黑体" w:eastAsia="黑体"/>
          <w:b w:val="0"/>
          <w:bCs/>
          <w:kern w:val="0"/>
        </w:rPr>
        <w:t>9.考生填报志愿时应注意哪些事项？</w:t>
      </w:r>
    </w:p>
    <w:p>
      <w:pPr>
        <w:overflowPunct w:val="0"/>
        <w:autoSpaceDE w:val="0"/>
        <w:autoSpaceDN w:val="0"/>
        <w:spacing w:line="520" w:lineRule="exact"/>
        <w:ind w:firstLine="643" w:firstLineChars="200"/>
        <w:rPr>
          <w:rStyle w:val="13"/>
          <w:rFonts w:hint="eastAsia" w:ascii="仿宋_GB2312"/>
          <w:b w:val="0"/>
          <w:bCs/>
          <w:kern w:val="0"/>
        </w:rPr>
      </w:pPr>
      <w:r>
        <w:rPr>
          <w:rStyle w:val="13"/>
          <w:rFonts w:hint="eastAsia"/>
          <w:kern w:val="0"/>
        </w:rPr>
        <w:t>一是</w:t>
      </w:r>
      <w:r>
        <w:rPr>
          <w:rStyle w:val="13"/>
          <w:rFonts w:hint="eastAsia"/>
          <w:b w:val="0"/>
          <w:bCs/>
          <w:kern w:val="0"/>
        </w:rPr>
        <w:t>认真学习招生政策。及时关注省教育考试院网站，准确掌握考试招生政策和有关高考志愿填报的院校招生专业及计划数等；仔细研读当年高中生之友《高考天地》杂志及其《计划增刊》，了解每个批次、每个院校专业组、每个专业招生人数、学校地址、学费标准、录取特殊要求等信息；通过各高校招生官网，认真阅读招生章程有关录取规则，了解学校发展历史、办学特色、学科水平等。</w:t>
      </w:r>
    </w:p>
    <w:p>
      <w:pPr>
        <w:overflowPunct w:val="0"/>
        <w:autoSpaceDE w:val="0"/>
        <w:autoSpaceDN w:val="0"/>
        <w:spacing w:line="520" w:lineRule="exact"/>
        <w:ind w:firstLine="643" w:firstLineChars="200"/>
        <w:rPr>
          <w:rStyle w:val="13"/>
          <w:rFonts w:hint="eastAsia"/>
          <w:b w:val="0"/>
          <w:bCs/>
          <w:kern w:val="0"/>
        </w:rPr>
      </w:pPr>
      <w:r>
        <w:rPr>
          <w:rStyle w:val="13"/>
          <w:rFonts w:hint="eastAsia"/>
          <w:kern w:val="0"/>
        </w:rPr>
        <w:t>二是</w:t>
      </w:r>
      <w:r>
        <w:rPr>
          <w:rStyle w:val="13"/>
          <w:rFonts w:hint="eastAsia"/>
          <w:b w:val="0"/>
          <w:bCs/>
          <w:kern w:val="0"/>
        </w:rPr>
        <w:t>看清选考科目要求。考生应对照高校招生专业的选考科目要求，对应报考。</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第一类：对首选科目和再选科目都未提出要求的，即“不提科目要求”，表示历史科目组的考生可报考招生院校公布的历史科目组招生计划中“不提科目要求”的专业，物理科目组的考生可报考招生院校公布的物理科目组招生计划中“不提科目要求”的专业。</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第二类：只对首选科目提出要求的，如首选科目为“物理”，表示物理科目组的所有考生均可报考；如首选科目为“历史”，表示历史科目组的所有考生均可报考。</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第三类：只对再选科目提出要求的，如“化学”，表示无论历史或物理科目组，再选化学的考生均可报考；但如果该专业当年招生计划安排在物理类，则只有首选科目为物理且再选科目有化学的考生才能报考。</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第四类：对首选科目和再选科目均提出选考要求的，如“物理，化学”，表示只有物理科目组里再选化学的考生方可报考；如“物理，化学，生物学”，表示只有物理科目组里再选化学和生物学的考生方可报考。</w:t>
      </w:r>
    </w:p>
    <w:p>
      <w:pPr>
        <w:overflowPunct w:val="0"/>
        <w:spacing w:line="520" w:lineRule="exact"/>
        <w:ind w:firstLine="640" w:firstLineChars="200"/>
        <w:rPr>
          <w:rStyle w:val="13"/>
          <w:rFonts w:hint="eastAsia"/>
          <w:b w:val="0"/>
          <w:bCs/>
          <w:kern w:val="0"/>
        </w:rPr>
      </w:pPr>
      <w:r>
        <w:rPr>
          <w:rStyle w:val="13"/>
          <w:rFonts w:hint="eastAsia"/>
          <w:b w:val="0"/>
          <w:bCs/>
          <w:kern w:val="0"/>
        </w:rPr>
        <w:t>考生可报考的专业以普通高校当年在我省安排的招生计划为准。考生所考的科目组合如果不符合院校专业组选科要求的，则无法填报该院校专业组志愿。</w:t>
      </w:r>
    </w:p>
    <w:p>
      <w:pPr>
        <w:overflowPunct w:val="0"/>
        <w:autoSpaceDE w:val="0"/>
        <w:spacing w:line="520" w:lineRule="exact"/>
        <w:ind w:firstLine="643" w:firstLineChars="200"/>
        <w:rPr>
          <w:rStyle w:val="13"/>
          <w:rFonts w:hint="eastAsia"/>
          <w:b w:val="0"/>
          <w:bCs/>
          <w:kern w:val="0"/>
        </w:rPr>
      </w:pPr>
      <w:r>
        <w:rPr>
          <w:rStyle w:val="13"/>
          <w:rFonts w:hint="eastAsia"/>
          <w:kern w:val="0"/>
        </w:rPr>
        <w:t>三是</w:t>
      </w:r>
      <w:r>
        <w:rPr>
          <w:rStyle w:val="13"/>
          <w:rFonts w:hint="eastAsia"/>
          <w:b w:val="0"/>
          <w:bCs/>
          <w:kern w:val="0"/>
        </w:rPr>
        <w:t>借助好辅助工具。我省2024年高考志愿填报系统中增设了近年在赣招生高校各专业录取分数和排名数据查询功能，考生可参考历年数据，根据自己成绩排名、身体条件（如身高、色盲色弱等）、外语语种、单科成绩、性别等因素合理选报。平行志愿批次建议采用“冲一冲、稳一稳、保一保、垫一垫”的填报策略，注意志愿间层次梯度。</w:t>
      </w:r>
    </w:p>
    <w:p>
      <w:pPr>
        <w:overflowPunct w:val="0"/>
        <w:autoSpaceDE w:val="0"/>
        <w:spacing w:line="520" w:lineRule="exact"/>
        <w:ind w:firstLine="643" w:firstLineChars="200"/>
        <w:rPr>
          <w:rStyle w:val="13"/>
          <w:rFonts w:hint="eastAsia"/>
          <w:b w:val="0"/>
          <w:bCs/>
          <w:kern w:val="0"/>
        </w:rPr>
      </w:pPr>
      <w:r>
        <w:rPr>
          <w:rStyle w:val="13"/>
          <w:rFonts w:hint="eastAsia"/>
          <w:kern w:val="0"/>
        </w:rPr>
        <w:t>四是</w:t>
      </w:r>
      <w:r>
        <w:rPr>
          <w:rStyle w:val="13"/>
          <w:rFonts w:hint="eastAsia"/>
          <w:b w:val="0"/>
          <w:bCs/>
          <w:kern w:val="0"/>
        </w:rPr>
        <w:t>妥善保管个人信息。务必保管好自己身份证号、密码等个人信息，避免因泄露个人信息导致志愿信息被篡改。考生个人对填报志愿信息的真实性和准确性负责。如志愿填报密码卡发生遗失或遗忘密码，要按规定程序在网上填报志愿前两日内，到报名所在地县（市、区）教育考试中心申请，重新设置并领取志愿填报密码。</w:t>
      </w:r>
    </w:p>
    <w:p>
      <w:pPr>
        <w:overflowPunct w:val="0"/>
        <w:autoSpaceDE w:val="0"/>
        <w:spacing w:line="520" w:lineRule="exact"/>
        <w:ind w:firstLine="643" w:firstLineChars="200"/>
        <w:rPr>
          <w:rStyle w:val="13"/>
          <w:rFonts w:hint="eastAsia"/>
          <w:b w:val="0"/>
          <w:bCs/>
          <w:kern w:val="0"/>
        </w:rPr>
      </w:pPr>
      <w:r>
        <w:rPr>
          <w:rStyle w:val="13"/>
          <w:rFonts w:hint="eastAsia"/>
          <w:kern w:val="0"/>
        </w:rPr>
        <w:t>五是</w:t>
      </w:r>
      <w:r>
        <w:rPr>
          <w:rStyle w:val="13"/>
          <w:rFonts w:hint="eastAsia"/>
          <w:b w:val="0"/>
          <w:bCs/>
          <w:kern w:val="0"/>
        </w:rPr>
        <w:t>熟悉填报操作流程。登录江西省教育考试院网站，了解熟悉网上填报的工作程序及操作流程。在规定时间内上网准确填报志愿，不要错填院校专业组批次及代码。提交志愿前，仔细确认各批次院校专业组志愿及专业是否填写完整，是否还需要进一步修改。确认志愿是否提交成功，成功后建议打印纸质志愿表存底。</w:t>
      </w:r>
    </w:p>
    <w:p>
      <w:pPr>
        <w:overflowPunct w:val="0"/>
        <w:spacing w:line="520" w:lineRule="exact"/>
        <w:ind w:firstLine="640" w:firstLineChars="200"/>
        <w:outlineLvl w:val="0"/>
        <w:rPr>
          <w:rStyle w:val="13"/>
          <w:rFonts w:hint="eastAsia" w:ascii="黑体" w:hAnsi="黑体" w:eastAsia="黑体"/>
          <w:b w:val="0"/>
          <w:bCs/>
          <w:kern w:val="0"/>
        </w:rPr>
      </w:pPr>
      <w:bookmarkStart w:id="14" w:name="_Toc5708"/>
      <w:bookmarkEnd w:id="14"/>
      <w:bookmarkStart w:id="15" w:name="_Toc11485"/>
      <w:r>
        <w:rPr>
          <w:rStyle w:val="13"/>
          <w:rFonts w:hint="eastAsia" w:ascii="黑体" w:hAnsi="黑体" w:eastAsia="黑体"/>
          <w:b w:val="0"/>
          <w:bCs/>
          <w:kern w:val="0"/>
        </w:rPr>
        <w:t>10.新高考的投档录取方式与改革前相比有哪些变化？</w:t>
      </w:r>
      <w:bookmarkEnd w:id="15"/>
    </w:p>
    <w:p>
      <w:pPr>
        <w:overflowPunct w:val="0"/>
        <w:spacing w:line="520" w:lineRule="exact"/>
        <w:ind w:firstLine="640" w:firstLineChars="200"/>
        <w:rPr>
          <w:rStyle w:val="13"/>
          <w:rFonts w:hint="eastAsia" w:ascii="仿宋_GB2312"/>
          <w:kern w:val="0"/>
        </w:rPr>
      </w:pPr>
      <w:r>
        <w:rPr>
          <w:rStyle w:val="13"/>
          <w:rFonts w:hint="eastAsia"/>
          <w:b w:val="0"/>
          <w:bCs/>
          <w:kern w:val="0"/>
        </w:rPr>
        <w:t>我省新高考的投档录取方式与改革前相比，主要有两点变化：</w:t>
      </w:r>
      <w:r>
        <w:rPr>
          <w:rStyle w:val="13"/>
          <w:rFonts w:hint="eastAsia"/>
          <w:kern w:val="0"/>
        </w:rPr>
        <w:t>一是</w:t>
      </w:r>
      <w:r>
        <w:rPr>
          <w:rStyle w:val="13"/>
          <w:rFonts w:hint="eastAsia"/>
          <w:b w:val="0"/>
          <w:bCs/>
          <w:kern w:val="0"/>
        </w:rPr>
        <w:t>投档方式不同。考生档案由投档到院校，改革为投档到院校专业组；</w:t>
      </w:r>
      <w:r>
        <w:rPr>
          <w:rStyle w:val="13"/>
          <w:rFonts w:hint="eastAsia"/>
          <w:kern w:val="0"/>
        </w:rPr>
        <w:t>二是</w:t>
      </w:r>
      <w:r>
        <w:rPr>
          <w:rStyle w:val="13"/>
          <w:rFonts w:hint="eastAsia"/>
          <w:b w:val="0"/>
          <w:bCs/>
          <w:kern w:val="0"/>
        </w:rPr>
        <w:t>专业调剂范围不同。考生如选择服从专业调剂，原来可以在高校同一科类的招生专业范围内进行调剂，新高考只能在同一个院校专业组的招生专业范围内进行调剂</w:t>
      </w:r>
      <w:r>
        <w:rPr>
          <w:rStyle w:val="13"/>
          <w:rFonts w:hint="eastAsia"/>
          <w:kern w:val="0"/>
        </w:rPr>
        <w:t>，不能调剂到其他院校专业组。</w:t>
      </w:r>
    </w:p>
    <w:p>
      <w:pPr>
        <w:overflowPunct w:val="0"/>
        <w:adjustRightInd w:val="0"/>
        <w:snapToGrid w:val="0"/>
        <w:spacing w:line="520" w:lineRule="exact"/>
        <w:ind w:firstLine="643" w:firstLineChars="200"/>
        <w:rPr>
          <w:rStyle w:val="13"/>
          <w:rFonts w:hint="eastAsia"/>
          <w:kern w:val="0"/>
        </w:rPr>
      </w:pPr>
      <w:r>
        <w:rPr>
          <w:rStyle w:val="13"/>
          <w:rFonts w:hint="eastAsia"/>
          <w:kern w:val="0"/>
        </w:rPr>
        <w:t xml:space="preserve">（1）普通类 </w:t>
      </w:r>
    </w:p>
    <w:p>
      <w:pPr>
        <w:overflowPunct w:val="0"/>
        <w:adjustRightInd w:val="0"/>
        <w:snapToGrid w:val="0"/>
        <w:spacing w:line="520" w:lineRule="exact"/>
        <w:ind w:firstLine="643" w:firstLineChars="200"/>
        <w:rPr>
          <w:rStyle w:val="13"/>
          <w:rFonts w:hint="eastAsia"/>
          <w:b w:val="0"/>
          <w:bCs/>
          <w:kern w:val="0"/>
        </w:rPr>
      </w:pPr>
      <w:r>
        <w:rPr>
          <w:rStyle w:val="13"/>
          <w:rFonts w:hint="eastAsia"/>
          <w:kern w:val="0"/>
        </w:rPr>
        <w:t>各批次平行志愿只进行一次投档。</w:t>
      </w:r>
      <w:r>
        <w:rPr>
          <w:rStyle w:val="13"/>
          <w:rFonts w:hint="eastAsia"/>
          <w:b w:val="0"/>
          <w:bCs/>
          <w:kern w:val="0"/>
        </w:rPr>
        <w:t>投档时，在文化成绩达到同批次文化控制分数线的考生中，根据考生志愿，按高校确定招生计划1：1的比例（有特殊要求的除外）从高分到低分投档。平行志愿不进行后续投档，对高校未完成的计划，进行网上征集志愿。</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提前本科批非军事类单志愿和提前高职（专科）单志愿投档时，在文化成绩达到同批次文化控制分数线的考生中，根据考生志愿，按高校确定招生计划1：1的比例（有特殊要求的除外）从高分到低分投档。</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提前本科批非军事类单志愿和提前高职（专科）单志愿可以进行后续投档，在文化控制分数线上投档录取仍未满的，进行网上征集志愿。</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征集志愿投档时，对线上生源不足的可以按照政策规定进行降分投档。</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提前本科批次：依据教育部有关规定列入提前批录取的高校或专业。先投军事类单志愿，再投军事类平行志愿，再投非军事类单志愿，定向志愿在非军事类单志愿投档录取后进行。</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本科批次：包括除列入提前批本科录取的所有本科专业。先完成特殊选拔单志愿投档录取，结束后再进行平行志愿投档。特殊选拔录取分数执行教育部有关规定，高校专项原则上不低于我省特殊类型招生录取参考分数线。</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提前高职（专科）批次：包括定向培养军士生以及部分有特殊报考要求的高职（专科）专业。先投平行志愿，再投单志愿。</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高职（专科）批次：包括所有未列入提前高职（专科）录取的高职（专科）专业。按平行志愿投档录取。</w:t>
      </w:r>
    </w:p>
    <w:p>
      <w:pPr>
        <w:overflowPunct w:val="0"/>
        <w:adjustRightInd w:val="0"/>
        <w:snapToGrid w:val="0"/>
        <w:spacing w:line="520" w:lineRule="exact"/>
        <w:ind w:firstLine="643" w:firstLineChars="200"/>
        <w:rPr>
          <w:rStyle w:val="13"/>
          <w:rFonts w:hint="eastAsia"/>
          <w:kern w:val="0"/>
        </w:rPr>
      </w:pPr>
      <w:r>
        <w:rPr>
          <w:rStyle w:val="13"/>
          <w:rFonts w:hint="eastAsia"/>
          <w:kern w:val="0"/>
        </w:rPr>
        <w:t>（2）艺术类</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提前本科批次：包括采用艺术校考成绩录取的专业以及戏曲类专业等，按单志愿投档录取。投档时，将填报志愿且符合条件的考生档案提供给院校，由院校根据向社会公布的录取规则进行录取。</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本科批次：包括采用省统考成绩作为专业成绩录取的专业，按平行志愿投档。投档时，对专业统考成绩本科上线、文化成绩对应专业类本科上线的考生，将其文化成绩和专业成绩按一定比例折算为综合成绩，分科类、不分首选科目从高到低统一排序，依据“院校专业组”志愿，按计划数1:1的比例投档。</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综合成绩计算方法如下：</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音乐类、舞蹈类、表（导）演类（戏剧影视表演、服装表演）、美术与设计类、书法类等科类（方向），综合成绩（四舍五入保留两位小数）=文化总成绩（含政策性加分）×50%+专业成绩/300×750×50%。</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表（导）演类（戏剧影视导演）、播音与主持类，综合成绩（四舍五入保留两位小数）=文化总成绩（含政策性加分）×70%+专业成绩/300×750×30%。</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提前高职（专科）批次：包括经批准列入本批次的高职（专科）专业。投档时，将专业及文化成绩均达到高职（专科）相关专业类分数线、填报了相关高校志愿的考生档案全部投出，由高校依据学校公布的录取规则择优录取。</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高职（专科）批次：包括所有未列入提前高职（专科）录取的高职（专科）专业。投档规则同本科批次。</w:t>
      </w:r>
    </w:p>
    <w:p>
      <w:pPr>
        <w:overflowPunct w:val="0"/>
        <w:adjustRightInd w:val="0"/>
        <w:snapToGrid w:val="0"/>
        <w:spacing w:line="520" w:lineRule="exact"/>
        <w:ind w:firstLine="643" w:firstLineChars="200"/>
        <w:rPr>
          <w:rStyle w:val="13"/>
          <w:rFonts w:hint="eastAsia"/>
          <w:kern w:val="0"/>
        </w:rPr>
      </w:pPr>
      <w:r>
        <w:rPr>
          <w:rStyle w:val="13"/>
          <w:rFonts w:hint="eastAsia"/>
          <w:kern w:val="0"/>
        </w:rPr>
        <w:t>（3）体育类</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本科批次、高职（专科）批次对专业、文化分别达到对应批次专业合格线及文化控制线的考生，依据体育专业成绩排序，从高分到低分，按志愿、按计划数1：1的比例投档。</w:t>
      </w:r>
    </w:p>
    <w:p>
      <w:pPr>
        <w:overflowPunct w:val="0"/>
        <w:spacing w:line="520" w:lineRule="exact"/>
        <w:ind w:firstLine="640" w:firstLineChars="200"/>
        <w:outlineLvl w:val="0"/>
        <w:rPr>
          <w:rStyle w:val="13"/>
          <w:rFonts w:hint="eastAsia" w:ascii="黑体" w:hAnsi="黑体" w:eastAsia="黑体"/>
          <w:b w:val="0"/>
          <w:bCs/>
          <w:kern w:val="0"/>
        </w:rPr>
      </w:pPr>
      <w:r>
        <w:rPr>
          <w:rStyle w:val="13"/>
          <w:rFonts w:hint="eastAsia" w:ascii="黑体" w:hAnsi="黑体" w:eastAsia="黑体"/>
          <w:b w:val="0"/>
          <w:bCs/>
          <w:kern w:val="0"/>
        </w:rPr>
        <w:t>11.什么是平行志愿？院校专业组平行志愿如何投档？</w:t>
      </w:r>
    </w:p>
    <w:p>
      <w:pPr>
        <w:overflowPunct w:val="0"/>
        <w:spacing w:line="520" w:lineRule="exact"/>
        <w:ind w:firstLine="640" w:firstLineChars="200"/>
        <w:rPr>
          <w:rStyle w:val="13"/>
          <w:rFonts w:hint="eastAsia" w:ascii="仿宋_GB2312"/>
          <w:b w:val="0"/>
          <w:bCs/>
          <w:kern w:val="0"/>
        </w:rPr>
      </w:pPr>
      <w:r>
        <w:rPr>
          <w:rStyle w:val="13"/>
          <w:rFonts w:hint="eastAsia"/>
          <w:b w:val="0"/>
          <w:bCs/>
          <w:kern w:val="0"/>
        </w:rPr>
        <w:t>平行志愿是指高考招生同一类别、同一投档段次中若干具有相对平行关系的志愿。</w:t>
      </w:r>
    </w:p>
    <w:p>
      <w:pPr>
        <w:overflowPunct w:val="0"/>
        <w:spacing w:line="520" w:lineRule="exact"/>
        <w:ind w:firstLine="640" w:firstLineChars="200"/>
        <w:rPr>
          <w:rStyle w:val="13"/>
          <w:rFonts w:hint="eastAsia"/>
          <w:b w:val="0"/>
          <w:bCs/>
          <w:kern w:val="0"/>
        </w:rPr>
      </w:pPr>
      <w:r>
        <w:rPr>
          <w:rStyle w:val="13"/>
          <w:rFonts w:hint="eastAsia"/>
          <w:b w:val="0"/>
          <w:bCs/>
          <w:kern w:val="0"/>
        </w:rPr>
        <w:t>院校专业组平行志愿投档是以院校专业组为基本投档单位，按照“分数优先、遵循志愿、一轮投档”的规则进行投档和录取。具体来说有三个步骤：</w:t>
      </w:r>
    </w:p>
    <w:p>
      <w:pPr>
        <w:overflowPunct w:val="0"/>
        <w:spacing w:line="520" w:lineRule="exact"/>
        <w:ind w:firstLine="640" w:firstLineChars="200"/>
        <w:rPr>
          <w:rStyle w:val="13"/>
          <w:rFonts w:hint="eastAsia"/>
          <w:b w:val="0"/>
          <w:bCs/>
          <w:kern w:val="0"/>
        </w:rPr>
      </w:pPr>
      <w:r>
        <w:rPr>
          <w:rStyle w:val="13"/>
          <w:rFonts w:hint="eastAsia"/>
          <w:b w:val="0"/>
          <w:bCs/>
          <w:kern w:val="0"/>
        </w:rPr>
        <w:t>第一，按投档成绩将每个类别的考生从高到低排队。在对同一批次的平行志愿进行投档时，每个类别都有一个队列，谁的投档成绩高，谁就排在某个队列的靠前位置。</w:t>
      </w:r>
    </w:p>
    <w:p>
      <w:pPr>
        <w:overflowPunct w:val="0"/>
        <w:spacing w:line="520" w:lineRule="exact"/>
        <w:ind w:firstLine="640" w:firstLineChars="200"/>
        <w:rPr>
          <w:rStyle w:val="13"/>
          <w:rFonts w:hint="eastAsia"/>
          <w:b w:val="0"/>
          <w:bCs/>
          <w:kern w:val="0"/>
        </w:rPr>
      </w:pPr>
      <w:r>
        <w:rPr>
          <w:rStyle w:val="13"/>
          <w:rFonts w:hint="eastAsia"/>
          <w:b w:val="0"/>
          <w:bCs/>
          <w:kern w:val="0"/>
        </w:rPr>
        <w:t>第二，按每个队列的考生顺序，依次检索不同考生的志愿。只有前面考生的志愿检索完成后，系统才会检索紧随其后那位考生的志愿。比如，小王和小张选择的都是普通类历史科目组，小王561分，小张560分，小王刚好排在小张的前面一位。投档时，系统先检索小王的志愿，等小王的志愿检索完成后，再检索小张的志愿。</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第三，具体到某一位考生的志愿，则按照该考生填报的院校专业组顺序依次检索。系统投档时，先检索该考生所填报的第1个院校专业组，如果这个院校专业组此时还有空余计划，说明招生计划还没有被排在该考生前面的考生“用”完，则将该考生的档案投进这个院校专业组；如果第1个院校专业组满员了，再检索该考生的第2个院校专业组是否有空余计划，如有计划则投档，如没有计划则继续检索该考生的第3个院校专业组，以此类推。如果系统检索完该考生填报的最后一个院校专业组仍没有空余计划，表明该考生此次投档滑档，那么，该考生就需要密切关注这个批次的征集志愿，或参加下一批次投档。</w:t>
      </w:r>
    </w:p>
    <w:p>
      <w:pPr>
        <w:overflowPunct w:val="0"/>
        <w:autoSpaceDE w:val="0"/>
        <w:autoSpaceDN w:val="0"/>
        <w:spacing w:line="520" w:lineRule="exact"/>
        <w:ind w:firstLine="640" w:firstLineChars="200"/>
        <w:outlineLvl w:val="0"/>
        <w:rPr>
          <w:rStyle w:val="13"/>
          <w:rFonts w:hint="eastAsia" w:ascii="黑体" w:hAnsi="黑体" w:eastAsia="黑体"/>
          <w:b w:val="0"/>
          <w:bCs/>
          <w:kern w:val="0"/>
        </w:rPr>
      </w:pPr>
      <w:r>
        <w:rPr>
          <w:rStyle w:val="13"/>
          <w:rFonts w:hint="eastAsia" w:ascii="黑体" w:hAnsi="黑体" w:eastAsia="黑体"/>
          <w:b w:val="0"/>
          <w:bCs/>
          <w:kern w:val="0"/>
        </w:rPr>
        <w:t>12.填报平行志愿有哪些注意事项？</w:t>
      </w:r>
    </w:p>
    <w:p>
      <w:pPr>
        <w:overflowPunct w:val="0"/>
        <w:adjustRightInd w:val="0"/>
        <w:snapToGrid w:val="0"/>
        <w:spacing w:line="520" w:lineRule="exact"/>
        <w:ind w:firstLine="640" w:firstLineChars="200"/>
        <w:rPr>
          <w:rStyle w:val="13"/>
          <w:rFonts w:hint="eastAsia" w:ascii="仿宋_GB2312"/>
          <w:b w:val="0"/>
          <w:bCs/>
          <w:kern w:val="0"/>
        </w:rPr>
      </w:pPr>
      <w:r>
        <w:rPr>
          <w:rStyle w:val="13"/>
          <w:rFonts w:hint="eastAsia"/>
          <w:b w:val="0"/>
          <w:bCs/>
          <w:kern w:val="0"/>
        </w:rPr>
        <w:t>答：平行志愿每轮投档，考生只有一次投档机会。如果进档后被高校退档，只能参加缺额计划征集志愿或下一批次的录取。</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考生可以综合自身分数、排名、意向专业、选考科目匹配要求和高校招生计划等情况，合理选报院校专业组志愿。采取“冲一冲”“稳一稳”“保一保”“垫一垫”的策略，则需要将各志愿院校专业组之间拉开适当梯度进行填报。</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平行志愿投档后，考生投到某个院校专业组。专业组内的专业录取规则详见各高校发布的招生章程。</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考生还应该注意以下几点：</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一是尽量填满志愿。45个院校专业组志愿尽量填满，增加录取机会。</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二是尽量将想去的院校专业组排在前面。平行志愿只进行一次投档，当分数满足被投档至某一志愿时，后面的志愿随之失效。</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三是关注学校、专业的特殊要求。比如有的专业对单科分数、身体条件等有明确要求，应根据自身情况，避开受限专业组。</w:t>
      </w:r>
    </w:p>
    <w:p>
      <w:pPr>
        <w:overflowPunct w:val="0"/>
        <w:adjustRightInd w:val="0"/>
        <w:snapToGrid w:val="0"/>
        <w:spacing w:line="520" w:lineRule="exact"/>
        <w:ind w:firstLine="640" w:firstLineChars="200"/>
        <w:rPr>
          <w:rStyle w:val="13"/>
          <w:rFonts w:hint="eastAsia"/>
          <w:b w:val="0"/>
          <w:bCs/>
          <w:kern w:val="0"/>
        </w:rPr>
      </w:pPr>
      <w:r>
        <w:rPr>
          <w:rStyle w:val="13"/>
          <w:rFonts w:hint="eastAsia"/>
          <w:b w:val="0"/>
          <w:bCs/>
          <w:kern w:val="0"/>
        </w:rPr>
        <w:t>四是尽量选择服从专业调剂。选服从调剂，如填报的1—6个专业志愿均未能录取，可以调剂录取到该专业组内其他专业。若选择不服从专业调剂，如其所报专业志愿均不能被满足时，则可能被高校退档，只能参加本批次的缺额计划征集志愿录取或下批次录取。</w:t>
      </w:r>
    </w:p>
    <w:p>
      <w:pPr>
        <w:overflowPunct w:val="0"/>
        <w:autoSpaceDE w:val="0"/>
        <w:autoSpaceDN w:val="0"/>
        <w:spacing w:line="520" w:lineRule="exact"/>
        <w:ind w:firstLine="640" w:firstLineChars="200"/>
        <w:outlineLvl w:val="0"/>
        <w:rPr>
          <w:rStyle w:val="13"/>
          <w:rFonts w:hint="eastAsia" w:ascii="黑体" w:hAnsi="黑体" w:eastAsia="黑体"/>
          <w:b w:val="0"/>
          <w:bCs/>
          <w:kern w:val="0"/>
        </w:rPr>
      </w:pPr>
      <w:bookmarkStart w:id="16" w:name="_Toc28390"/>
      <w:bookmarkEnd w:id="16"/>
      <w:bookmarkStart w:id="17" w:name="_Toc1856"/>
      <w:r>
        <w:rPr>
          <w:rStyle w:val="13"/>
          <w:rFonts w:hint="eastAsia" w:ascii="黑体" w:hAnsi="黑体" w:eastAsia="黑体"/>
          <w:b w:val="0"/>
          <w:bCs/>
          <w:kern w:val="0"/>
        </w:rPr>
        <w:t>13.新高考录取还会出现退档吗？</w:t>
      </w:r>
      <w:bookmarkEnd w:id="17"/>
    </w:p>
    <w:p>
      <w:pPr>
        <w:overflowPunct w:val="0"/>
        <w:autoSpaceDE w:val="0"/>
        <w:autoSpaceDN w:val="0"/>
        <w:spacing w:line="520" w:lineRule="exact"/>
        <w:ind w:firstLine="640" w:firstLineChars="200"/>
        <w:rPr>
          <w:rStyle w:val="13"/>
          <w:rFonts w:hint="eastAsia" w:ascii="仿宋_GB2312"/>
          <w:b w:val="0"/>
          <w:bCs/>
          <w:kern w:val="0"/>
        </w:rPr>
      </w:pPr>
      <w:bookmarkStart w:id="18" w:name="_Toc11729"/>
      <w:bookmarkEnd w:id="18"/>
      <w:r>
        <w:rPr>
          <w:rStyle w:val="13"/>
          <w:rFonts w:hint="eastAsia"/>
          <w:b w:val="0"/>
          <w:bCs/>
          <w:kern w:val="0"/>
        </w:rPr>
        <w:t>院校专业组模式下，依然存在退档风险。主要原因有：</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（1）高校根据学校实际需要，可能会在招生章程中设定一定的特殊要求，当投档到高校后，高校按照招生简章进行录取审核，不符合相应要求的考生会被退档。</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（2）考生总分达到了高校录取投档线，但没达到所报专业的录取分数线且又选择不服从调剂，高校会给予退档处理；</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（3）身体条件、外语语种、单科成绩、性别等不符合所报专业要求，高校将做退档处理。如，体育教育、医学类等专业不招收色觉异常的考生。</w:t>
      </w:r>
    </w:p>
    <w:p>
      <w:pPr>
        <w:overflowPunct w:val="0"/>
        <w:autoSpaceDE w:val="0"/>
        <w:autoSpaceDN w:val="0"/>
        <w:spacing w:line="520" w:lineRule="exact"/>
        <w:ind w:firstLine="640" w:firstLineChars="200"/>
        <w:outlineLvl w:val="0"/>
        <w:rPr>
          <w:rStyle w:val="13"/>
          <w:rFonts w:hint="eastAsia" w:ascii="黑体" w:hAnsi="黑体" w:eastAsia="黑体"/>
          <w:b w:val="0"/>
          <w:bCs/>
          <w:kern w:val="0"/>
        </w:rPr>
      </w:pPr>
      <w:r>
        <w:rPr>
          <w:rStyle w:val="13"/>
          <w:rFonts w:hint="eastAsia" w:ascii="黑体" w:hAnsi="黑体" w:eastAsia="黑体"/>
          <w:b w:val="0"/>
          <w:bCs/>
          <w:kern w:val="0"/>
        </w:rPr>
        <w:t>14.网上填报志愿有哪些步骤？</w:t>
      </w:r>
    </w:p>
    <w:p>
      <w:pPr>
        <w:overflowPunct w:val="0"/>
        <w:autoSpaceDE w:val="0"/>
        <w:autoSpaceDN w:val="0"/>
        <w:spacing w:line="520" w:lineRule="exact"/>
        <w:ind w:firstLine="640" w:firstLineChars="200"/>
        <w:rPr>
          <w:rStyle w:val="13"/>
          <w:rFonts w:hint="eastAsia" w:ascii="仿宋_GB2312"/>
          <w:b w:val="0"/>
          <w:bCs/>
          <w:kern w:val="0"/>
        </w:rPr>
      </w:pPr>
      <w:r>
        <w:rPr>
          <w:rStyle w:val="13"/>
          <w:rFonts w:hint="eastAsia"/>
          <w:b w:val="0"/>
          <w:bCs/>
          <w:kern w:val="0"/>
        </w:rPr>
        <w:t>答：（1）考生登录江西省教育考试院网站（http://www.jxeea.cn/），进入“江西省普通高考综合管理平台”，考生按要求输入账号，登录系统。</w:t>
      </w:r>
    </w:p>
    <w:p>
      <w:pPr>
        <w:overflowPunct w:val="0"/>
        <w:autoSpaceDE w:val="0"/>
        <w:autoSpaceDN w:val="0"/>
        <w:jc w:val="center"/>
        <w:rPr>
          <w:rStyle w:val="13"/>
          <w:rFonts w:hint="eastAsia"/>
          <w:b w:val="0"/>
          <w:bCs/>
          <w:kern w:val="0"/>
        </w:rPr>
      </w:pPr>
      <w:r>
        <w:drawing>
          <wp:inline distT="0" distB="0" distL="0" distR="0">
            <wp:extent cx="4600575" cy="2562225"/>
            <wp:effectExtent l="19050" t="0" r="9525" b="0"/>
            <wp:docPr id="1" name="图片 1" descr="C:\Users\HP\AppData\Local\Temp\ksohtml1364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HP\AppData\Local\Temp\ksohtml13644\wps1.jpg"/>
                    <pic:cNvPicPr>
                      <a:picLocks noChangeAspect="1" noChangeArrowheads="1"/>
                    </pic:cNvPicPr>
                  </pic:nvPicPr>
                  <pic:blipFill>
                    <a:blip r:embed="rId4" cstate="print"/>
                    <a:srcRect/>
                    <a:stretch>
                      <a:fillRect/>
                    </a:stretch>
                  </pic:blipFill>
                  <pic:spPr>
                    <a:xfrm>
                      <a:off x="0" y="0"/>
                      <a:ext cx="4600575" cy="2562225"/>
                    </a:xfrm>
                    <a:prstGeom prst="rect">
                      <a:avLst/>
                    </a:prstGeom>
                    <a:noFill/>
                    <a:ln w="9525">
                      <a:noFill/>
                      <a:miter lim="800000"/>
                      <a:headEnd/>
                      <a:tailEnd/>
                    </a:ln>
                  </pic:spPr>
                </pic:pic>
              </a:graphicData>
            </a:graphic>
          </wp:inline>
        </w:drawing>
      </w:r>
      <w:r>
        <w:rPr>
          <w:rStyle w:val="13"/>
          <w:rFonts w:hint="eastAsia"/>
          <w:b w:val="0"/>
          <w:bCs/>
          <w:kern w:val="0"/>
        </w:rPr>
        <w:t xml:space="preserve"> </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（2）点击“志愿填报”功能卡片，进入“志愿填报系统”。</w:t>
      </w:r>
    </w:p>
    <w:p>
      <w:pPr>
        <w:overflowPunct w:val="0"/>
        <w:autoSpaceDE w:val="0"/>
        <w:autoSpaceDN w:val="0"/>
        <w:jc w:val="center"/>
        <w:rPr>
          <w:rStyle w:val="13"/>
          <w:rFonts w:hint="eastAsia" w:eastAsia="宋体" w:cs="仿宋_GB2312"/>
          <w:b w:val="0"/>
          <w:bCs/>
          <w:kern w:val="0"/>
        </w:rPr>
      </w:pPr>
      <w:r>
        <w:drawing>
          <wp:inline distT="0" distB="0" distL="0" distR="0">
            <wp:extent cx="4552950" cy="2867025"/>
            <wp:effectExtent l="19050" t="0" r="0" b="0"/>
            <wp:docPr id="2" name="图片 2" descr="C:\Users\HP\AppData\Local\Temp\ksohtml1364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HP\AppData\Local\Temp\ksohtml13644\wps2.jpg"/>
                    <pic:cNvPicPr>
                      <a:picLocks noChangeAspect="1" noChangeArrowheads="1"/>
                    </pic:cNvPicPr>
                  </pic:nvPicPr>
                  <pic:blipFill>
                    <a:blip r:embed="rId5" cstate="print"/>
                    <a:srcRect/>
                    <a:stretch>
                      <a:fillRect/>
                    </a:stretch>
                  </pic:blipFill>
                  <pic:spPr>
                    <a:xfrm>
                      <a:off x="0" y="0"/>
                      <a:ext cx="4552950" cy="2867025"/>
                    </a:xfrm>
                    <a:prstGeom prst="rect">
                      <a:avLst/>
                    </a:prstGeom>
                    <a:noFill/>
                    <a:ln w="9525">
                      <a:noFill/>
                      <a:miter lim="800000"/>
                      <a:headEnd/>
                      <a:tailEnd/>
                    </a:ln>
                  </pic:spPr>
                </pic:pic>
              </a:graphicData>
            </a:graphic>
          </wp:inline>
        </w:drawing>
      </w:r>
      <w:r>
        <w:rPr>
          <w:rStyle w:val="13"/>
          <w:rFonts w:hint="eastAsia" w:eastAsia="宋体" w:cs="仿宋_GB2312"/>
          <w:b w:val="0"/>
          <w:bCs/>
          <w:kern w:val="0"/>
        </w:rPr>
        <w:t xml:space="preserve"> </w:t>
      </w:r>
    </w:p>
    <w:p>
      <w:pPr>
        <w:overflowPunct w:val="0"/>
        <w:autoSpaceDE w:val="0"/>
        <w:autoSpaceDN w:val="0"/>
        <w:spacing w:line="520" w:lineRule="exact"/>
        <w:ind w:firstLine="640" w:firstLineChars="200"/>
        <w:rPr>
          <w:rStyle w:val="13"/>
          <w:rFonts w:hint="eastAsia" w:eastAsia="宋体" w:cs="仿宋_GB2312"/>
          <w:b w:val="0"/>
          <w:bCs/>
          <w:kern w:val="0"/>
        </w:rPr>
      </w:pPr>
      <w:r>
        <w:rPr>
          <w:rStyle w:val="13"/>
          <w:rFonts w:hint="eastAsia"/>
          <w:b w:val="0"/>
          <w:bCs/>
          <w:kern w:val="0"/>
        </w:rPr>
        <w:t>（3）系统左侧为主菜单，包含“通知公告”“计划查询和收藏”“我的收藏”“志愿填报”“正式志愿查看”等栏目，点击后可进入相应界面。</w:t>
      </w:r>
    </w:p>
    <w:p>
      <w:pPr>
        <w:overflowPunct w:val="0"/>
        <w:autoSpaceDE w:val="0"/>
        <w:autoSpaceDN w:val="0"/>
        <w:jc w:val="center"/>
        <w:rPr>
          <w:rStyle w:val="13"/>
          <w:rFonts w:hint="eastAsia" w:eastAsia="宋体" w:cs="仿宋_GB2312"/>
          <w:b w:val="0"/>
          <w:bCs/>
          <w:kern w:val="0"/>
        </w:rPr>
      </w:pPr>
      <w:r>
        <w:drawing>
          <wp:inline distT="0" distB="0" distL="0" distR="0">
            <wp:extent cx="5076825" cy="2714625"/>
            <wp:effectExtent l="19050" t="0" r="9525" b="0"/>
            <wp:docPr id="3" name="图片 3" descr="C:\Users\HP\AppData\Local\Temp\ksohtml13644\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HP\AppData\Local\Temp\ksohtml13644\wps3.jpg"/>
                    <pic:cNvPicPr>
                      <a:picLocks noChangeAspect="1" noChangeArrowheads="1"/>
                    </pic:cNvPicPr>
                  </pic:nvPicPr>
                  <pic:blipFill>
                    <a:blip r:embed="rId6" cstate="print"/>
                    <a:srcRect/>
                    <a:stretch>
                      <a:fillRect/>
                    </a:stretch>
                  </pic:blipFill>
                  <pic:spPr>
                    <a:xfrm>
                      <a:off x="0" y="0"/>
                      <a:ext cx="5076825" cy="2714625"/>
                    </a:xfrm>
                    <a:prstGeom prst="rect">
                      <a:avLst/>
                    </a:prstGeom>
                    <a:noFill/>
                    <a:ln w="9525">
                      <a:noFill/>
                      <a:miter lim="800000"/>
                      <a:headEnd/>
                      <a:tailEnd/>
                    </a:ln>
                  </pic:spPr>
                </pic:pic>
              </a:graphicData>
            </a:graphic>
          </wp:inline>
        </w:drawing>
      </w:r>
      <w:r>
        <w:rPr>
          <w:rStyle w:val="13"/>
          <w:rFonts w:eastAsia="宋体" w:cs="仿宋_GB2312"/>
          <w:b w:val="0"/>
          <w:bCs/>
          <w:kern w:val="0"/>
        </w:rPr>
        <w:t xml:space="preserve"> </w:t>
      </w:r>
    </w:p>
    <w:p>
      <w:pPr>
        <w:overflowPunct w:val="0"/>
        <w:autoSpaceDE w:val="0"/>
        <w:autoSpaceDN w:val="0"/>
        <w:spacing w:line="520" w:lineRule="exact"/>
        <w:ind w:firstLine="640" w:firstLineChars="200"/>
        <w:rPr>
          <w:rStyle w:val="13"/>
          <w:rFonts w:ascii="仿宋_GB2312"/>
          <w:b w:val="0"/>
          <w:bCs/>
          <w:kern w:val="0"/>
        </w:rPr>
      </w:pPr>
      <w:r>
        <w:rPr>
          <w:rStyle w:val="13"/>
          <w:rFonts w:hint="eastAsia"/>
          <w:b w:val="0"/>
          <w:bCs/>
          <w:kern w:val="0"/>
        </w:rPr>
        <w:t>（4）进入“计划查询和收藏”栏目，可通过条件选择，查询2024年招生计划，并收藏有意向填报的院校专业。</w:t>
      </w:r>
    </w:p>
    <w:p>
      <w:pPr>
        <w:overflowPunct w:val="0"/>
        <w:autoSpaceDE w:val="0"/>
        <w:autoSpaceDN w:val="0"/>
        <w:jc w:val="center"/>
        <w:rPr>
          <w:rStyle w:val="13"/>
          <w:rFonts w:hint="eastAsia" w:eastAsia="宋体" w:cs="仿宋_GB2312"/>
          <w:b w:val="0"/>
          <w:bCs/>
          <w:kern w:val="0"/>
        </w:rPr>
      </w:pPr>
      <w:r>
        <w:drawing>
          <wp:inline distT="0" distB="0" distL="0" distR="0">
            <wp:extent cx="4829175" cy="2657475"/>
            <wp:effectExtent l="19050" t="0" r="9525" b="0"/>
            <wp:docPr id="4" name="图片 4" descr="C:\Users\HP\AppData\Local\Temp\ksohtml13644\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HP\AppData\Local\Temp\ksohtml13644\wps4.jpg"/>
                    <pic:cNvPicPr>
                      <a:picLocks noChangeAspect="1" noChangeArrowheads="1"/>
                    </pic:cNvPicPr>
                  </pic:nvPicPr>
                  <pic:blipFill>
                    <a:blip r:embed="rId7" cstate="print"/>
                    <a:srcRect/>
                    <a:stretch>
                      <a:fillRect/>
                    </a:stretch>
                  </pic:blipFill>
                  <pic:spPr>
                    <a:xfrm>
                      <a:off x="0" y="0"/>
                      <a:ext cx="4829175" cy="2657475"/>
                    </a:xfrm>
                    <a:prstGeom prst="rect">
                      <a:avLst/>
                    </a:prstGeom>
                    <a:noFill/>
                    <a:ln w="9525">
                      <a:noFill/>
                      <a:miter lim="800000"/>
                      <a:headEnd/>
                      <a:tailEnd/>
                    </a:ln>
                  </pic:spPr>
                </pic:pic>
              </a:graphicData>
            </a:graphic>
          </wp:inline>
        </w:drawing>
      </w:r>
      <w:r>
        <w:rPr>
          <w:rStyle w:val="13"/>
          <w:rFonts w:eastAsia="宋体" w:cs="仿宋_GB2312"/>
          <w:b w:val="0"/>
          <w:bCs/>
          <w:kern w:val="0"/>
        </w:rPr>
        <w:t xml:space="preserve"> </w:t>
      </w:r>
    </w:p>
    <w:p>
      <w:pPr>
        <w:overflowPunct w:val="0"/>
        <w:autoSpaceDE w:val="0"/>
        <w:autoSpaceDN w:val="0"/>
        <w:spacing w:line="520" w:lineRule="exact"/>
        <w:ind w:firstLine="640" w:firstLineChars="200"/>
        <w:rPr>
          <w:rStyle w:val="13"/>
          <w:rFonts w:ascii="仿宋_GB2312"/>
          <w:b w:val="0"/>
          <w:bCs/>
          <w:kern w:val="0"/>
        </w:rPr>
      </w:pPr>
      <w:r>
        <w:rPr>
          <w:rStyle w:val="13"/>
          <w:rFonts w:hint="eastAsia"/>
          <w:b w:val="0"/>
          <w:bCs/>
          <w:kern w:val="0"/>
        </w:rPr>
        <w:t>（5）进入“我的收藏”栏目，可集中查看已经收藏的院校专业，通过录入或选择各种查询条件，查询已收藏的院校专业。</w:t>
      </w:r>
    </w:p>
    <w:p>
      <w:pPr>
        <w:overflowPunct w:val="0"/>
        <w:autoSpaceDE w:val="0"/>
        <w:autoSpaceDN w:val="0"/>
        <w:jc w:val="center"/>
        <w:rPr>
          <w:rStyle w:val="13"/>
          <w:rFonts w:hint="eastAsia" w:eastAsia="宋体" w:cs="仿宋_GB2312"/>
          <w:b w:val="0"/>
          <w:bCs/>
          <w:kern w:val="0"/>
        </w:rPr>
      </w:pPr>
      <w:r>
        <w:drawing>
          <wp:inline distT="0" distB="0" distL="0" distR="0">
            <wp:extent cx="5162550" cy="2952750"/>
            <wp:effectExtent l="19050" t="0" r="0" b="0"/>
            <wp:docPr id="5" name="图片 5" descr="C:\Users\HP\AppData\Local\Temp\ksohtml13644\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HP\AppData\Local\Temp\ksohtml13644\wps5.jpg"/>
                    <pic:cNvPicPr>
                      <a:picLocks noChangeAspect="1" noChangeArrowheads="1"/>
                    </pic:cNvPicPr>
                  </pic:nvPicPr>
                  <pic:blipFill>
                    <a:blip r:embed="rId8" cstate="print"/>
                    <a:srcRect/>
                    <a:stretch>
                      <a:fillRect/>
                    </a:stretch>
                  </pic:blipFill>
                  <pic:spPr>
                    <a:xfrm>
                      <a:off x="0" y="0"/>
                      <a:ext cx="5162550" cy="2952750"/>
                    </a:xfrm>
                    <a:prstGeom prst="rect">
                      <a:avLst/>
                    </a:prstGeom>
                    <a:noFill/>
                    <a:ln w="9525">
                      <a:noFill/>
                      <a:miter lim="800000"/>
                      <a:headEnd/>
                      <a:tailEnd/>
                    </a:ln>
                  </pic:spPr>
                </pic:pic>
              </a:graphicData>
            </a:graphic>
          </wp:inline>
        </w:drawing>
      </w:r>
      <w:r>
        <w:rPr>
          <w:rStyle w:val="13"/>
          <w:rFonts w:eastAsia="宋体" w:cs="仿宋_GB2312"/>
          <w:b w:val="0"/>
          <w:bCs/>
          <w:kern w:val="0"/>
        </w:rPr>
        <w:t xml:space="preserve"> </w:t>
      </w:r>
    </w:p>
    <w:p>
      <w:pPr>
        <w:overflowPunct w:val="0"/>
        <w:autoSpaceDE w:val="0"/>
        <w:autoSpaceDN w:val="0"/>
        <w:spacing w:line="520" w:lineRule="exact"/>
        <w:ind w:firstLine="640" w:firstLineChars="200"/>
        <w:rPr>
          <w:rStyle w:val="13"/>
          <w:rFonts w:ascii="仿宋_GB2312"/>
          <w:b w:val="0"/>
          <w:bCs/>
          <w:kern w:val="0"/>
        </w:rPr>
      </w:pPr>
      <w:r>
        <w:rPr>
          <w:rStyle w:val="13"/>
          <w:rFonts w:hint="eastAsia"/>
          <w:b w:val="0"/>
          <w:bCs/>
          <w:kern w:val="0"/>
        </w:rPr>
        <w:t>（6）进入“志愿填报”栏目，请认真阅读“志愿填报帮助”，点击“我知道了”按钮继续填报。</w:t>
      </w:r>
    </w:p>
    <w:p>
      <w:pPr>
        <w:overflowPunct w:val="0"/>
        <w:autoSpaceDE w:val="0"/>
        <w:autoSpaceDN w:val="0"/>
        <w:jc w:val="center"/>
        <w:rPr>
          <w:rStyle w:val="13"/>
          <w:rFonts w:hint="eastAsia"/>
          <w:b w:val="0"/>
          <w:bCs/>
          <w:kern w:val="0"/>
        </w:rPr>
      </w:pPr>
      <w:r>
        <w:drawing>
          <wp:inline distT="0" distB="0" distL="0" distR="0">
            <wp:extent cx="5353050" cy="2886075"/>
            <wp:effectExtent l="19050" t="0" r="0" b="0"/>
            <wp:docPr id="6" name="图片 6" descr="C:\Users\HP\AppData\Local\Temp\ksohtml13644\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HP\AppData\Local\Temp\ksohtml13644\wps6.jpg"/>
                    <pic:cNvPicPr>
                      <a:picLocks noChangeAspect="1" noChangeArrowheads="1"/>
                    </pic:cNvPicPr>
                  </pic:nvPicPr>
                  <pic:blipFill>
                    <a:blip r:embed="rId9" cstate="print"/>
                    <a:srcRect/>
                    <a:stretch>
                      <a:fillRect/>
                    </a:stretch>
                  </pic:blipFill>
                  <pic:spPr>
                    <a:xfrm>
                      <a:off x="0" y="0"/>
                      <a:ext cx="5353050" cy="2886075"/>
                    </a:xfrm>
                    <a:prstGeom prst="rect">
                      <a:avLst/>
                    </a:prstGeom>
                    <a:noFill/>
                    <a:ln w="9525">
                      <a:noFill/>
                      <a:miter lim="800000"/>
                      <a:headEnd/>
                      <a:tailEnd/>
                    </a:ln>
                  </pic:spPr>
                </pic:pic>
              </a:graphicData>
            </a:graphic>
          </wp:inline>
        </w:drawing>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7）在操作填报区域，可以看到本人可填报的所有批次栏目列表。点击“去填报”按钮，跳转填报界面完成志愿填报。考生可以逐条填选每个学校的每个专业组的每个专业，也可以将已经收藏的院校专业以专业组为单位导入某个志愿。</w:t>
      </w:r>
    </w:p>
    <w:p>
      <w:pPr>
        <w:overflowPunct w:val="0"/>
        <w:autoSpaceDE w:val="0"/>
        <w:autoSpaceDN w:val="0"/>
        <w:jc w:val="center"/>
        <w:rPr>
          <w:rStyle w:val="13"/>
          <w:rFonts w:hint="eastAsia"/>
          <w:b w:val="0"/>
          <w:bCs/>
          <w:kern w:val="0"/>
        </w:rPr>
      </w:pPr>
      <w:r>
        <w:drawing>
          <wp:inline distT="0" distB="0" distL="0" distR="0">
            <wp:extent cx="5143500" cy="2781300"/>
            <wp:effectExtent l="19050" t="0" r="0" b="0"/>
            <wp:docPr id="7" name="图片 7" descr="C:\Users\HP\AppData\Local\Temp\ksohtml13644\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HP\AppData\Local\Temp\ksohtml13644\wps7.jpg"/>
                    <pic:cNvPicPr>
                      <a:picLocks noChangeAspect="1" noChangeArrowheads="1"/>
                    </pic:cNvPicPr>
                  </pic:nvPicPr>
                  <pic:blipFill>
                    <a:blip r:embed="rId10" cstate="print"/>
                    <a:srcRect/>
                    <a:stretch>
                      <a:fillRect/>
                    </a:stretch>
                  </pic:blipFill>
                  <pic:spPr>
                    <a:xfrm>
                      <a:off x="0" y="0"/>
                      <a:ext cx="5143500" cy="2781300"/>
                    </a:xfrm>
                    <a:prstGeom prst="rect">
                      <a:avLst/>
                    </a:prstGeom>
                    <a:noFill/>
                    <a:ln w="9525">
                      <a:noFill/>
                      <a:miter lim="800000"/>
                      <a:headEnd/>
                      <a:tailEnd/>
                    </a:ln>
                  </pic:spPr>
                </pic:pic>
              </a:graphicData>
            </a:graphic>
          </wp:inline>
        </w:drawing>
      </w:r>
      <w:r>
        <w:rPr>
          <w:rStyle w:val="13"/>
          <w:rFonts w:hint="eastAsia"/>
          <w:b w:val="0"/>
          <w:bCs/>
          <w:kern w:val="0"/>
        </w:rPr>
        <w:t xml:space="preserve"> </w:t>
      </w:r>
    </w:p>
    <w:p>
      <w:pPr>
        <w:overflowPunct w:val="0"/>
        <w:autoSpaceDE w:val="0"/>
        <w:autoSpaceDN w:val="0"/>
        <w:jc w:val="center"/>
        <w:rPr>
          <w:rStyle w:val="13"/>
          <w:rFonts w:hint="eastAsia"/>
          <w:b w:val="0"/>
          <w:bCs/>
          <w:kern w:val="0"/>
        </w:rPr>
      </w:pPr>
      <w:r>
        <w:drawing>
          <wp:inline distT="0" distB="0" distL="0" distR="0">
            <wp:extent cx="5153025" cy="2847975"/>
            <wp:effectExtent l="19050" t="0" r="9525" b="0"/>
            <wp:docPr id="8" name="图片 8" descr="C:\Users\HP\AppData\Local\Temp\ksohtml13644\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HP\AppData\Local\Temp\ksohtml13644\wps8.jpg"/>
                    <pic:cNvPicPr>
                      <a:picLocks noChangeAspect="1" noChangeArrowheads="1"/>
                    </pic:cNvPicPr>
                  </pic:nvPicPr>
                  <pic:blipFill>
                    <a:blip r:embed="rId11" cstate="print"/>
                    <a:srcRect/>
                    <a:stretch>
                      <a:fillRect/>
                    </a:stretch>
                  </pic:blipFill>
                  <pic:spPr>
                    <a:xfrm>
                      <a:off x="0" y="0"/>
                      <a:ext cx="5153025" cy="2847975"/>
                    </a:xfrm>
                    <a:prstGeom prst="rect">
                      <a:avLst/>
                    </a:prstGeom>
                    <a:noFill/>
                    <a:ln w="9525">
                      <a:noFill/>
                      <a:miter lim="800000"/>
                      <a:headEnd/>
                      <a:tailEnd/>
                    </a:ln>
                  </pic:spPr>
                </pic:pic>
              </a:graphicData>
            </a:graphic>
          </wp:inline>
        </w:drawing>
      </w:r>
      <w:r>
        <w:rPr>
          <w:rStyle w:val="13"/>
          <w:rFonts w:hint="eastAsia"/>
          <w:b w:val="0"/>
          <w:bCs/>
          <w:kern w:val="0"/>
        </w:rPr>
        <w:t xml:space="preserve"> </w:t>
      </w:r>
    </w:p>
    <w:p>
      <w:pPr>
        <w:overflowPunct w:val="0"/>
        <w:autoSpaceDE w:val="0"/>
        <w:autoSpaceDN w:val="0"/>
        <w:spacing w:line="520" w:lineRule="exact"/>
        <w:ind w:firstLine="640" w:firstLineChars="200"/>
        <w:rPr>
          <w:rStyle w:val="13"/>
          <w:rFonts w:hint="eastAsia"/>
          <w:b w:val="0"/>
          <w:bCs/>
          <w:kern w:val="0"/>
        </w:rPr>
      </w:pPr>
      <w:r>
        <w:rPr>
          <w:rStyle w:val="13"/>
          <w:rFonts w:hint="eastAsia"/>
          <w:b w:val="0"/>
          <w:bCs/>
          <w:kern w:val="0"/>
        </w:rPr>
        <w:t>（8）考生在完成所有批次栏目的填报后，可点击“我已填完所有志愿，进入志愿核对”，进入第二步“志愿核对”。请仔细核对所填写的志愿是否正确，核对无误后点击“我已确认所有志愿无误，进入志愿提交”按钮提交志愿。注意，首次志愿提交需要输入密码进行确认，志愿提交1次后，还能修改1次。</w:t>
      </w:r>
    </w:p>
    <w:p>
      <w:pPr>
        <w:overflowPunct w:val="0"/>
        <w:autoSpaceDE w:val="0"/>
        <w:autoSpaceDN w:val="0"/>
        <w:jc w:val="center"/>
        <w:rPr>
          <w:rStyle w:val="13"/>
          <w:rFonts w:hint="eastAsia"/>
          <w:b w:val="0"/>
          <w:bCs/>
          <w:kern w:val="0"/>
        </w:rPr>
      </w:pPr>
      <w:r>
        <w:drawing>
          <wp:inline distT="0" distB="0" distL="0" distR="0">
            <wp:extent cx="5095875" cy="2857500"/>
            <wp:effectExtent l="19050" t="0" r="9525" b="0"/>
            <wp:docPr id="9" name="图片 9" descr="C:\Users\HP\AppData\Local\Temp\ksohtml13644\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HP\AppData\Local\Temp\ksohtml13644\wps9.jpg"/>
                    <pic:cNvPicPr>
                      <a:picLocks noChangeAspect="1" noChangeArrowheads="1"/>
                    </pic:cNvPicPr>
                  </pic:nvPicPr>
                  <pic:blipFill>
                    <a:blip r:embed="rId12" cstate="print"/>
                    <a:srcRect/>
                    <a:stretch>
                      <a:fillRect/>
                    </a:stretch>
                  </pic:blipFill>
                  <pic:spPr>
                    <a:xfrm>
                      <a:off x="0" y="0"/>
                      <a:ext cx="5095875" cy="2857500"/>
                    </a:xfrm>
                    <a:prstGeom prst="rect">
                      <a:avLst/>
                    </a:prstGeom>
                    <a:noFill/>
                    <a:ln w="9525">
                      <a:noFill/>
                      <a:miter lim="800000"/>
                      <a:headEnd/>
                      <a:tailEnd/>
                    </a:ln>
                  </pic:spPr>
                </pic:pic>
              </a:graphicData>
            </a:graphic>
          </wp:inline>
        </w:drawing>
      </w:r>
    </w:p>
    <w:p>
      <w:pPr>
        <w:overflowPunct w:val="0"/>
        <w:autoSpaceDE w:val="0"/>
        <w:autoSpaceDN w:val="0"/>
        <w:spacing w:line="520" w:lineRule="exact"/>
        <w:ind w:firstLine="641"/>
        <w:rPr>
          <w:rStyle w:val="13"/>
          <w:rFonts w:hint="eastAsia"/>
          <w:b w:val="0"/>
          <w:bCs/>
          <w:kern w:val="0"/>
        </w:rPr>
      </w:pPr>
      <w:r>
        <w:rPr>
          <w:rStyle w:val="13"/>
          <w:rFonts w:hint="eastAsia"/>
          <w:b w:val="0"/>
          <w:bCs/>
          <w:kern w:val="0"/>
        </w:rPr>
        <w:t>（9）进入“正式志愿查看”栏目，可查看已提交的志愿信息。</w:t>
      </w:r>
    </w:p>
    <w:p>
      <w:pPr>
        <w:overflowPunct w:val="0"/>
        <w:autoSpaceDE w:val="0"/>
        <w:autoSpaceDN w:val="0"/>
        <w:jc w:val="center"/>
        <w:rPr>
          <w:rStyle w:val="13"/>
          <w:rFonts w:hint="eastAsia"/>
          <w:b w:val="0"/>
          <w:bCs/>
          <w:kern w:val="0"/>
        </w:rPr>
      </w:pPr>
      <w:r>
        <w:drawing>
          <wp:inline distT="0" distB="0" distL="0" distR="0">
            <wp:extent cx="5286375" cy="3048000"/>
            <wp:effectExtent l="19050" t="0" r="9525" b="0"/>
            <wp:docPr id="10" name="图片 10" descr="C:\Users\HP\AppData\Local\Temp\ksohtml13644\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HP\AppData\Local\Temp\ksohtml13644\wps10.jpg"/>
                    <pic:cNvPicPr>
                      <a:picLocks noChangeAspect="1" noChangeArrowheads="1"/>
                    </pic:cNvPicPr>
                  </pic:nvPicPr>
                  <pic:blipFill>
                    <a:blip r:embed="rId13" cstate="print"/>
                    <a:srcRect/>
                    <a:stretch>
                      <a:fillRect/>
                    </a:stretch>
                  </pic:blipFill>
                  <pic:spPr>
                    <a:xfrm>
                      <a:off x="0" y="0"/>
                      <a:ext cx="5286375" cy="3048000"/>
                    </a:xfrm>
                    <a:prstGeom prst="rect">
                      <a:avLst/>
                    </a:prstGeom>
                    <a:noFill/>
                    <a:ln w="9525">
                      <a:noFill/>
                      <a:miter lim="800000"/>
                      <a:headEnd/>
                      <a:tailEnd/>
                    </a:ln>
                  </pic:spPr>
                </pic:pic>
              </a:graphicData>
            </a:graphic>
          </wp:inline>
        </w:drawing>
      </w:r>
    </w:p>
    <w:p>
      <w:pPr>
        <w:overflowPunct w:val="0"/>
        <w:autoSpaceDE w:val="0"/>
        <w:autoSpaceDN w:val="0"/>
        <w:spacing w:line="520" w:lineRule="exact"/>
        <w:ind w:firstLine="640"/>
        <w:rPr>
          <w:rStyle w:val="13"/>
          <w:rFonts w:hint="eastAsia"/>
          <w:b w:val="0"/>
          <w:bCs/>
          <w:kern w:val="0"/>
        </w:rPr>
      </w:pPr>
      <w:r>
        <w:rPr>
          <w:rStyle w:val="13"/>
          <w:rFonts w:hint="eastAsia"/>
          <w:b w:val="0"/>
          <w:bCs/>
          <w:kern w:val="0"/>
        </w:rPr>
        <w:t>注意：以上截图为“志愿填报系统”操作过程和演示说明，因系统可能优化调整，具体的内容信息和界面操作，以实际发布为准。</w:t>
      </w:r>
    </w:p>
    <w:p>
      <w:pPr>
        <w:pStyle w:val="6"/>
        <w:spacing w:line="520" w:lineRule="exact"/>
        <w:ind w:left="0" w:leftChars="0" w:firstLine="640"/>
        <w:outlineLvl w:val="0"/>
        <w:rPr>
          <w:rStyle w:val="13"/>
          <w:rFonts w:hint="eastAsia" w:ascii="黑体" w:hAnsi="黑体" w:eastAsia="黑体"/>
          <w:b w:val="0"/>
          <w:bCs/>
          <w:kern w:val="0"/>
          <w:sz w:val="32"/>
          <w:szCs w:val="32"/>
        </w:rPr>
      </w:pPr>
      <w:r>
        <w:rPr>
          <w:rStyle w:val="13"/>
          <w:rFonts w:hint="eastAsia" w:ascii="黑体" w:hAnsi="黑体" w:eastAsia="黑体"/>
          <w:b w:val="0"/>
          <w:bCs/>
          <w:kern w:val="0"/>
          <w:sz w:val="32"/>
          <w:szCs w:val="32"/>
        </w:rPr>
        <w:t>15.有哪些官方平台可以获取高考信息？</w:t>
      </w:r>
    </w:p>
    <w:p>
      <w:pPr>
        <w:pStyle w:val="6"/>
        <w:spacing w:line="520" w:lineRule="exact"/>
        <w:ind w:left="0" w:leftChars="0" w:firstLine="640"/>
      </w:pPr>
      <w:r>
        <w:rPr>
          <w:rStyle w:val="13"/>
          <w:rFonts w:hint="eastAsia" w:ascii="仿宋_GB2312" w:eastAsia="仿宋_GB2312"/>
          <w:b w:val="0"/>
          <w:bCs/>
          <w:kern w:val="0"/>
          <w:sz w:val="32"/>
          <w:szCs w:val="32"/>
        </w:rPr>
        <w:t>教育部“阳光高考”平台（gaokao.chsi.com.cn）、“江西省教育厅”官网（jyt.jiangxi.gov.cn）、“江西省教育考试院”官网（www.jxeea.cn）、“江西省教育厅”微信公众号以及各招生高校官方网站等。</w:t>
      </w:r>
    </w:p>
    <w:sectPr>
      <w:pgSz w:w="11906" w:h="16838"/>
      <w:pgMar w:top="2098" w:right="1587"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TcyOThjMWRkMzdlZDBkOGM5NjZjNTA5MTYwYTcifQ=="/>
    <w:docVar w:name="KSO_WPS_MARK_KEY" w:val="ae05b175-db21-40a9-aa13-f7f7b715378d"/>
  </w:docVars>
  <w:rsids>
    <w:rsidRoot w:val="009C2CBE"/>
    <w:rsid w:val="000666FF"/>
    <w:rsid w:val="0058318F"/>
    <w:rsid w:val="009C2CBE"/>
    <w:rsid w:val="18CC4195"/>
    <w:rsid w:val="26DA4F68"/>
    <w:rsid w:val="38D2378F"/>
    <w:rsid w:val="390375ED"/>
    <w:rsid w:val="4116107B"/>
    <w:rsid w:val="4B88136D"/>
    <w:rsid w:val="58EC7C56"/>
    <w:rsid w:val="63E239DF"/>
    <w:rsid w:val="7D203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仿宋_GB2312" w:hAnsi="宋体"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Indent"/>
    <w:basedOn w:val="1"/>
    <w:link w:val="11"/>
    <w:autoRedefine/>
    <w:semiHidden/>
    <w:unhideWhenUsed/>
    <w:qFormat/>
    <w:uiPriority w:val="99"/>
    <w:pPr>
      <w:spacing w:after="120"/>
      <w:ind w:left="420" w:leftChars="200"/>
    </w:pPr>
  </w:style>
  <w:style w:type="paragraph" w:styleId="4">
    <w:name w:val="Balloon Text"/>
    <w:basedOn w:val="1"/>
    <w:link w:val="14"/>
    <w:autoRedefine/>
    <w:semiHidden/>
    <w:unhideWhenUsed/>
    <w:qFormat/>
    <w:uiPriority w:val="99"/>
    <w:rPr>
      <w:sz w:val="18"/>
      <w:szCs w:val="18"/>
    </w:rPr>
  </w:style>
  <w:style w:type="paragraph" w:styleId="5">
    <w:name w:val="Normal (Web)"/>
    <w:basedOn w:val="1"/>
    <w:autoRedefine/>
    <w:unhideWhenUsed/>
    <w:qFormat/>
    <w:uiPriority w:val="99"/>
    <w:rPr>
      <w:sz w:val="24"/>
      <w:szCs w:val="24"/>
    </w:rPr>
  </w:style>
  <w:style w:type="paragraph" w:styleId="6">
    <w:name w:val="Body Text First Indent 2"/>
    <w:basedOn w:val="1"/>
    <w:link w:val="12"/>
    <w:autoRedefine/>
    <w:unhideWhenUsed/>
    <w:qFormat/>
    <w:uiPriority w:val="99"/>
    <w:pPr>
      <w:spacing w:before="100" w:beforeAutospacing="1" w:after="100" w:afterAutospacing="1"/>
      <w:ind w:left="420" w:leftChars="200" w:firstLine="420" w:firstLineChars="200"/>
    </w:pPr>
    <w:rPr>
      <w:rFonts w:ascii="Calibri" w:hAnsi="Calibri" w:eastAsia="宋体"/>
      <w:sz w:val="21"/>
      <w:szCs w:val="21"/>
    </w:rPr>
  </w:style>
  <w:style w:type="character" w:styleId="9">
    <w:name w:val="FollowedHyperlink"/>
    <w:basedOn w:val="8"/>
    <w:autoRedefine/>
    <w:semiHidden/>
    <w:unhideWhenUsed/>
    <w:qFormat/>
    <w:uiPriority w:val="99"/>
    <w:rPr>
      <w:color w:val="800080"/>
      <w:u w:val="single"/>
    </w:rPr>
  </w:style>
  <w:style w:type="character" w:styleId="10">
    <w:name w:val="Hyperlink"/>
    <w:basedOn w:val="8"/>
    <w:autoRedefine/>
    <w:semiHidden/>
    <w:unhideWhenUsed/>
    <w:qFormat/>
    <w:uiPriority w:val="99"/>
    <w:rPr>
      <w:color w:val="0000FF"/>
      <w:u w:val="single"/>
    </w:rPr>
  </w:style>
  <w:style w:type="character" w:customStyle="1" w:styleId="11">
    <w:name w:val="正文文本缩进 Char"/>
    <w:basedOn w:val="8"/>
    <w:link w:val="3"/>
    <w:autoRedefine/>
    <w:semiHidden/>
    <w:qFormat/>
    <w:uiPriority w:val="99"/>
    <w:rPr>
      <w:rFonts w:ascii="仿宋_GB2312" w:hAnsi="宋体" w:eastAsia="仿宋_GB2312" w:cs="Times New Roman"/>
      <w:sz w:val="32"/>
      <w:szCs w:val="32"/>
    </w:rPr>
  </w:style>
  <w:style w:type="character" w:customStyle="1" w:styleId="12">
    <w:name w:val="正文首行缩进 2 Char"/>
    <w:basedOn w:val="11"/>
    <w:link w:val="6"/>
    <w:autoRedefine/>
    <w:qFormat/>
    <w:uiPriority w:val="99"/>
    <w:rPr>
      <w:rFonts w:ascii="Calibri" w:hAnsi="Calibri" w:eastAsia="宋体"/>
      <w:szCs w:val="21"/>
    </w:rPr>
  </w:style>
  <w:style w:type="character" w:customStyle="1" w:styleId="13">
    <w:name w:val="15"/>
    <w:basedOn w:val="8"/>
    <w:autoRedefine/>
    <w:qFormat/>
    <w:uiPriority w:val="0"/>
    <w:rPr>
      <w:rFonts w:hint="default" w:ascii="Times New Roman" w:hAnsi="Times New Roman" w:cs="Times New Roman"/>
      <w:b/>
    </w:rPr>
  </w:style>
  <w:style w:type="character" w:customStyle="1" w:styleId="14">
    <w:name w:val="批注框文本 Char"/>
    <w:basedOn w:val="8"/>
    <w:link w:val="4"/>
    <w:autoRedefine/>
    <w:semiHidden/>
    <w:qFormat/>
    <w:uiPriority w:val="99"/>
    <w:rPr>
      <w:rFonts w:ascii="仿宋_GB2312" w:hAnsi="宋体"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22</Pages>
  <Words>9381</Words>
  <Characters>9645</Characters>
  <Lines>69</Lines>
  <Paragraphs>19</Paragraphs>
  <TotalTime>4</TotalTime>
  <ScaleCrop>false</ScaleCrop>
  <LinksUpToDate>false</LinksUpToDate>
  <CharactersWithSpaces>9660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2024-05-31T11:02:00Z</dcterms:created>
  <dc:creator>HP</dc:creator>
  <cp:lastModifiedBy>高凤婷</cp:lastModifiedBy>
  <dcterms:modified xsi:type="dcterms:W3CDTF">2024-06-01T12:08:31Z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7803B61B4CC74C80A43E55F69C7220B1_13</vt:lpwstr>
  </property>
</Properties>
</file>